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CB" w:rsidRPr="008A4AFC" w:rsidRDefault="00AD1FCB" w:rsidP="00EC637B">
      <w:pPr>
        <w:jc w:val="both"/>
        <w:rPr>
          <w:rFonts w:ascii="Arial" w:hAnsi="Arial" w:cs="Arial"/>
          <w:sz w:val="22"/>
          <w:szCs w:val="22"/>
        </w:rPr>
      </w:pPr>
    </w:p>
    <w:p w:rsidR="009336B5" w:rsidRPr="008A4AFC" w:rsidRDefault="00B01EA1" w:rsidP="00EC637B">
      <w:pPr>
        <w:jc w:val="center"/>
        <w:rPr>
          <w:rFonts w:ascii="Arial" w:hAnsi="Arial" w:cs="Arial"/>
          <w:b/>
          <w:sz w:val="22"/>
          <w:szCs w:val="22"/>
        </w:rPr>
      </w:pPr>
      <w:r>
        <w:rPr>
          <w:rFonts w:ascii="Arial" w:hAnsi="Arial" w:cs="Arial"/>
          <w:b/>
          <w:sz w:val="22"/>
          <w:szCs w:val="22"/>
        </w:rPr>
        <w:t>TÁJÉKOZTATÓ</w:t>
      </w:r>
      <w:r w:rsidR="008E4708">
        <w:rPr>
          <w:rFonts w:ascii="Arial" w:hAnsi="Arial" w:cs="Arial"/>
          <w:b/>
          <w:sz w:val="22"/>
          <w:szCs w:val="22"/>
        </w:rPr>
        <w:t xml:space="preserve"> AMATŐR LABDARÚGÓK ÁTIGAZOLÁSÁNAK VÁLTOZÁSÁRÓL</w:t>
      </w:r>
    </w:p>
    <w:p w:rsidR="001C4566" w:rsidRPr="008A4AFC" w:rsidRDefault="001C4566" w:rsidP="00EC637B">
      <w:pPr>
        <w:jc w:val="center"/>
        <w:rPr>
          <w:rFonts w:ascii="Arial" w:hAnsi="Arial" w:cs="Arial"/>
          <w:sz w:val="22"/>
          <w:szCs w:val="22"/>
        </w:rPr>
      </w:pPr>
    </w:p>
    <w:p w:rsidR="002E674B" w:rsidRPr="008A4AFC" w:rsidRDefault="002E674B" w:rsidP="00EC637B">
      <w:pPr>
        <w:jc w:val="center"/>
        <w:rPr>
          <w:rFonts w:ascii="Arial" w:hAnsi="Arial" w:cs="Arial"/>
          <w:sz w:val="22"/>
          <w:szCs w:val="22"/>
        </w:rPr>
      </w:pPr>
    </w:p>
    <w:p w:rsidR="00D01BBC" w:rsidRDefault="009336B5" w:rsidP="00EC637B">
      <w:pPr>
        <w:jc w:val="both"/>
        <w:rPr>
          <w:rFonts w:ascii="Arial" w:hAnsi="Arial" w:cs="Arial"/>
          <w:sz w:val="22"/>
          <w:szCs w:val="22"/>
        </w:rPr>
      </w:pPr>
      <w:r w:rsidRPr="008A4AFC">
        <w:rPr>
          <w:rFonts w:ascii="Arial" w:hAnsi="Arial" w:cs="Arial"/>
          <w:sz w:val="22"/>
          <w:szCs w:val="22"/>
        </w:rPr>
        <w:t>2016.</w:t>
      </w:r>
      <w:r w:rsidR="001C4566" w:rsidRPr="008A4AFC">
        <w:rPr>
          <w:rFonts w:ascii="Arial" w:hAnsi="Arial" w:cs="Arial"/>
          <w:sz w:val="22"/>
          <w:szCs w:val="22"/>
        </w:rPr>
        <w:t xml:space="preserve"> július 1- </w:t>
      </w:r>
      <w:proofErr w:type="spellStart"/>
      <w:r w:rsidR="001C4566" w:rsidRPr="008A4AFC">
        <w:rPr>
          <w:rFonts w:ascii="Arial" w:hAnsi="Arial" w:cs="Arial"/>
          <w:sz w:val="22"/>
          <w:szCs w:val="22"/>
        </w:rPr>
        <w:t>től</w:t>
      </w:r>
      <w:proofErr w:type="spellEnd"/>
      <w:r w:rsidR="001C4566" w:rsidRPr="008A4AFC">
        <w:rPr>
          <w:rFonts w:ascii="Arial" w:hAnsi="Arial" w:cs="Arial"/>
          <w:sz w:val="22"/>
          <w:szCs w:val="22"/>
        </w:rPr>
        <w:t xml:space="preserve"> új szabályok léptek hatályba a belföldi amatőr (szerződéssel nem rendelkező) labdarúgók átigazolásával kapcsolatosan</w:t>
      </w:r>
      <w:r w:rsidR="002E674B" w:rsidRPr="008A4AFC">
        <w:rPr>
          <w:rFonts w:ascii="Arial" w:hAnsi="Arial" w:cs="Arial"/>
          <w:sz w:val="22"/>
          <w:szCs w:val="22"/>
        </w:rPr>
        <w:t xml:space="preserve"> (13.§ (3) bekezdés n) pont)</w:t>
      </w:r>
      <w:r w:rsidR="001C4566" w:rsidRPr="008A4AFC">
        <w:rPr>
          <w:rFonts w:ascii="Arial" w:hAnsi="Arial" w:cs="Arial"/>
          <w:sz w:val="22"/>
          <w:szCs w:val="22"/>
        </w:rPr>
        <w:t xml:space="preserve">. </w:t>
      </w:r>
      <w:r w:rsidR="00D01BBC" w:rsidRPr="008A4AFC">
        <w:rPr>
          <w:rFonts w:ascii="Arial" w:hAnsi="Arial" w:cs="Arial"/>
          <w:sz w:val="22"/>
          <w:szCs w:val="22"/>
        </w:rPr>
        <w:t>A változ</w:t>
      </w:r>
      <w:r w:rsidR="00B01EA1">
        <w:rPr>
          <w:rFonts w:ascii="Arial" w:hAnsi="Arial" w:cs="Arial"/>
          <w:sz w:val="22"/>
          <w:szCs w:val="22"/>
        </w:rPr>
        <w:t xml:space="preserve">ásokkal kapcsolatosan az alábbi, tájékoztatót, </w:t>
      </w:r>
      <w:r w:rsidR="00D01BBC" w:rsidRPr="008A4AFC">
        <w:rPr>
          <w:rFonts w:ascii="Arial" w:hAnsi="Arial" w:cs="Arial"/>
          <w:sz w:val="22"/>
          <w:szCs w:val="22"/>
        </w:rPr>
        <w:t>segédletet kívánjuk a spo</w:t>
      </w:r>
      <w:r w:rsidR="00B01EA1">
        <w:rPr>
          <w:rFonts w:ascii="Arial" w:hAnsi="Arial" w:cs="Arial"/>
          <w:sz w:val="22"/>
          <w:szCs w:val="22"/>
        </w:rPr>
        <w:t>rtszervezetek részére nyújtani</w:t>
      </w:r>
      <w:r w:rsidR="00D01BBC" w:rsidRPr="008A4AFC">
        <w:rPr>
          <w:rFonts w:ascii="Arial" w:hAnsi="Arial" w:cs="Arial"/>
          <w:sz w:val="22"/>
          <w:szCs w:val="22"/>
        </w:rPr>
        <w:t xml:space="preserve"> </w:t>
      </w:r>
    </w:p>
    <w:p w:rsidR="001C4566" w:rsidRPr="008A4AFC" w:rsidRDefault="001C4566" w:rsidP="00EC637B">
      <w:pPr>
        <w:jc w:val="both"/>
        <w:rPr>
          <w:rFonts w:ascii="Arial" w:hAnsi="Arial" w:cs="Arial"/>
          <w:sz w:val="22"/>
          <w:szCs w:val="22"/>
        </w:rPr>
      </w:pPr>
    </w:p>
    <w:p w:rsidR="00D01BBC" w:rsidRPr="008A4AFC" w:rsidRDefault="00D01BBC" w:rsidP="00EC637B">
      <w:pPr>
        <w:jc w:val="both"/>
        <w:rPr>
          <w:rFonts w:ascii="Arial" w:hAnsi="Arial" w:cs="Arial"/>
          <w:sz w:val="22"/>
          <w:szCs w:val="22"/>
        </w:rPr>
      </w:pPr>
    </w:p>
    <w:p w:rsidR="00D01BBC" w:rsidRPr="008A4AFC" w:rsidRDefault="00D01BBC" w:rsidP="00EC637B">
      <w:pPr>
        <w:jc w:val="both"/>
        <w:rPr>
          <w:rFonts w:ascii="Arial" w:hAnsi="Arial" w:cs="Arial"/>
          <w:b/>
          <w:sz w:val="22"/>
          <w:szCs w:val="22"/>
          <w:u w:val="single"/>
        </w:rPr>
      </w:pPr>
      <w:r w:rsidRPr="008A4AFC">
        <w:rPr>
          <w:rFonts w:ascii="Arial" w:hAnsi="Arial" w:cs="Arial"/>
          <w:b/>
          <w:sz w:val="22"/>
          <w:szCs w:val="22"/>
          <w:u w:val="single"/>
        </w:rPr>
        <w:t>I. Amatőr labdarúgók átigazolásával kapcsolatos költségtérítés:</w:t>
      </w:r>
    </w:p>
    <w:p w:rsidR="00D01BBC" w:rsidRPr="008A4AFC" w:rsidRDefault="00D01BBC" w:rsidP="00EC637B">
      <w:pPr>
        <w:jc w:val="both"/>
        <w:rPr>
          <w:rFonts w:ascii="Arial" w:hAnsi="Arial" w:cs="Arial"/>
          <w:sz w:val="22"/>
          <w:szCs w:val="22"/>
        </w:rPr>
      </w:pPr>
    </w:p>
    <w:p w:rsidR="001C4566" w:rsidRPr="008A4AFC" w:rsidRDefault="001C4566" w:rsidP="00EC637B">
      <w:pPr>
        <w:jc w:val="both"/>
        <w:rPr>
          <w:rFonts w:ascii="Arial" w:hAnsi="Arial" w:cs="Arial"/>
          <w:sz w:val="22"/>
          <w:szCs w:val="22"/>
          <w:u w:val="single"/>
        </w:rPr>
      </w:pPr>
      <w:r w:rsidRPr="008A4AFC">
        <w:rPr>
          <w:rFonts w:ascii="Arial" w:hAnsi="Arial" w:cs="Arial"/>
          <w:sz w:val="22"/>
          <w:szCs w:val="22"/>
          <w:u w:val="single"/>
        </w:rPr>
        <w:t xml:space="preserve">Az alábbi két táblázat rövid értelmezése: </w:t>
      </w:r>
    </w:p>
    <w:p w:rsidR="00EC637B" w:rsidRPr="008A4AFC" w:rsidRDefault="00EC637B" w:rsidP="00EC637B">
      <w:pPr>
        <w:jc w:val="both"/>
        <w:rPr>
          <w:rFonts w:ascii="Arial" w:hAnsi="Arial" w:cs="Arial"/>
          <w:sz w:val="22"/>
          <w:szCs w:val="22"/>
        </w:rPr>
      </w:pPr>
    </w:p>
    <w:p w:rsidR="00F3047D" w:rsidRPr="008A4AFC" w:rsidRDefault="00F3047D" w:rsidP="00EC637B">
      <w:pPr>
        <w:jc w:val="both"/>
        <w:rPr>
          <w:rFonts w:ascii="Arial" w:hAnsi="Arial" w:cs="Arial"/>
          <w:b/>
          <w:sz w:val="22"/>
          <w:szCs w:val="22"/>
        </w:rPr>
      </w:pPr>
    </w:p>
    <w:p w:rsidR="001C4566" w:rsidRPr="008A4AFC" w:rsidRDefault="00B01EA1" w:rsidP="00EC637B">
      <w:pPr>
        <w:jc w:val="both"/>
        <w:rPr>
          <w:rFonts w:ascii="Arial" w:hAnsi="Arial" w:cs="Arial"/>
          <w:b/>
          <w:sz w:val="22"/>
          <w:szCs w:val="22"/>
        </w:rPr>
      </w:pPr>
      <w:proofErr w:type="gramStart"/>
      <w:r>
        <w:rPr>
          <w:rFonts w:ascii="Arial" w:hAnsi="Arial" w:cs="Arial"/>
          <w:b/>
          <w:sz w:val="22"/>
          <w:szCs w:val="22"/>
        </w:rPr>
        <w:t>A</w:t>
      </w:r>
      <w:r w:rsidR="001C4566" w:rsidRPr="008A4AFC">
        <w:rPr>
          <w:rFonts w:ascii="Arial" w:hAnsi="Arial" w:cs="Arial"/>
          <w:b/>
          <w:sz w:val="22"/>
          <w:szCs w:val="22"/>
        </w:rPr>
        <w:t>.</w:t>
      </w:r>
      <w:proofErr w:type="gramEnd"/>
      <w:r w:rsidR="001C4566" w:rsidRPr="008A4AFC">
        <w:rPr>
          <w:rFonts w:ascii="Arial" w:hAnsi="Arial" w:cs="Arial"/>
          <w:b/>
          <w:sz w:val="22"/>
          <w:szCs w:val="22"/>
        </w:rPr>
        <w:t xml:space="preserve"> Táblázat</w:t>
      </w:r>
    </w:p>
    <w:p w:rsidR="001C4566" w:rsidRPr="008A4AFC" w:rsidRDefault="001C4566" w:rsidP="00EC637B">
      <w:pPr>
        <w:jc w:val="both"/>
        <w:rPr>
          <w:rFonts w:ascii="Arial" w:hAnsi="Arial" w:cs="Arial"/>
          <w:sz w:val="22"/>
          <w:szCs w:val="22"/>
        </w:rPr>
      </w:pPr>
      <w:r w:rsidRPr="008A4AFC">
        <w:rPr>
          <w:rFonts w:ascii="Arial" w:hAnsi="Arial" w:cs="Arial"/>
          <w:sz w:val="22"/>
          <w:szCs w:val="22"/>
        </w:rPr>
        <w:t>Működési költ</w:t>
      </w:r>
      <w:r w:rsidR="002E674B" w:rsidRPr="008A4AFC">
        <w:rPr>
          <w:rFonts w:ascii="Arial" w:hAnsi="Arial" w:cs="Arial"/>
          <w:sz w:val="22"/>
          <w:szCs w:val="22"/>
        </w:rPr>
        <w:t>s</w:t>
      </w:r>
      <w:r w:rsidRPr="008A4AFC">
        <w:rPr>
          <w:rFonts w:ascii="Arial" w:hAnsi="Arial" w:cs="Arial"/>
          <w:sz w:val="22"/>
          <w:szCs w:val="22"/>
        </w:rPr>
        <w:t>égtérítés – 19 éven felüli amatőr (</w:t>
      </w:r>
      <w:r w:rsidR="008E4708">
        <w:rPr>
          <w:rFonts w:ascii="Arial" w:hAnsi="Arial" w:cs="Arial"/>
          <w:sz w:val="22"/>
          <w:szCs w:val="22"/>
        </w:rPr>
        <w:t>Idén az 1997</w:t>
      </w:r>
      <w:r w:rsidR="00270675">
        <w:rPr>
          <w:rFonts w:ascii="Arial" w:hAnsi="Arial" w:cs="Arial"/>
          <w:sz w:val="22"/>
          <w:szCs w:val="22"/>
        </w:rPr>
        <w:t>.</w:t>
      </w:r>
      <w:r w:rsidR="008E4708">
        <w:rPr>
          <w:rFonts w:ascii="Arial" w:hAnsi="Arial" w:cs="Arial"/>
          <w:sz w:val="22"/>
          <w:szCs w:val="22"/>
        </w:rPr>
        <w:t xml:space="preserve"> január 1</w:t>
      </w:r>
      <w:r w:rsidR="00270675">
        <w:rPr>
          <w:rFonts w:ascii="Arial" w:hAnsi="Arial" w:cs="Arial"/>
          <w:sz w:val="22"/>
          <w:szCs w:val="22"/>
        </w:rPr>
        <w:t>.</w:t>
      </w:r>
      <w:r w:rsidR="008E4708">
        <w:rPr>
          <w:rFonts w:ascii="Arial" w:hAnsi="Arial" w:cs="Arial"/>
          <w:sz w:val="22"/>
          <w:szCs w:val="22"/>
        </w:rPr>
        <w:t xml:space="preserve"> előtt született</w:t>
      </w:r>
      <w:r w:rsidRPr="008A4AFC">
        <w:rPr>
          <w:rFonts w:ascii="Arial" w:hAnsi="Arial" w:cs="Arial"/>
          <w:sz w:val="22"/>
          <w:szCs w:val="22"/>
        </w:rPr>
        <w:t xml:space="preserve">) labdarúgók esetében: </w:t>
      </w:r>
    </w:p>
    <w:p w:rsidR="006004AF" w:rsidRPr="008A4AFC" w:rsidRDefault="006004AF" w:rsidP="00EC637B">
      <w:pPr>
        <w:jc w:val="both"/>
        <w:rPr>
          <w:rFonts w:ascii="Arial" w:hAnsi="Arial" w:cs="Arial"/>
          <w:sz w:val="22"/>
          <w:szCs w:val="22"/>
        </w:rPr>
      </w:pPr>
    </w:p>
    <w:p w:rsidR="006004AF" w:rsidRPr="008A4AFC" w:rsidRDefault="006004AF" w:rsidP="00EC637B">
      <w:pPr>
        <w:jc w:val="both"/>
        <w:rPr>
          <w:rFonts w:ascii="Arial" w:hAnsi="Arial" w:cs="Arial"/>
          <w:sz w:val="22"/>
          <w:szCs w:val="22"/>
        </w:rPr>
      </w:pPr>
    </w:p>
    <w:tbl>
      <w:tblPr>
        <w:tblpPr w:leftFromText="141" w:rightFromText="141" w:topFromText="164" w:vertAnchor="text"/>
        <w:tblW w:w="10166" w:type="dxa"/>
        <w:tblLayout w:type="fixed"/>
        <w:tblCellMar>
          <w:left w:w="0" w:type="dxa"/>
          <w:right w:w="0" w:type="dxa"/>
        </w:tblCellMar>
        <w:tblLook w:val="04A0" w:firstRow="1" w:lastRow="0" w:firstColumn="1" w:lastColumn="0" w:noHBand="0" w:noVBand="1"/>
      </w:tblPr>
      <w:tblGrid>
        <w:gridCol w:w="1050"/>
        <w:gridCol w:w="1391"/>
        <w:gridCol w:w="1545"/>
        <w:gridCol w:w="1545"/>
        <w:gridCol w:w="1545"/>
        <w:gridCol w:w="1545"/>
        <w:gridCol w:w="1545"/>
      </w:tblGrid>
      <w:tr w:rsidR="004B5E75" w:rsidRPr="008A4AFC" w:rsidTr="008E4708">
        <w:trPr>
          <w:trHeight w:val="670"/>
        </w:trPr>
        <w:tc>
          <w:tcPr>
            <w:tcW w:w="1050" w:type="dxa"/>
            <w:tcBorders>
              <w:top w:val="single" w:sz="8" w:space="0" w:color="auto"/>
              <w:left w:val="single" w:sz="8" w:space="0" w:color="auto"/>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1C4566" w:rsidP="008E4708">
            <w:pPr>
              <w:jc w:val="center"/>
              <w:rPr>
                <w:rFonts w:ascii="Arial" w:hAnsi="Arial" w:cs="Arial"/>
                <w:b/>
                <w:bCs/>
                <w:sz w:val="22"/>
                <w:szCs w:val="22"/>
              </w:rPr>
            </w:pPr>
            <w:proofErr w:type="gramStart"/>
            <w:r w:rsidRPr="008A4AFC">
              <w:rPr>
                <w:rFonts w:ascii="Arial" w:hAnsi="Arial" w:cs="Arial"/>
                <w:b/>
                <w:bCs/>
                <w:sz w:val="22"/>
                <w:szCs w:val="22"/>
              </w:rPr>
              <w:t>A.</w:t>
            </w:r>
            <w:proofErr w:type="gramEnd"/>
            <w:r w:rsidRPr="008A4AFC">
              <w:rPr>
                <w:rFonts w:ascii="Arial" w:hAnsi="Arial" w:cs="Arial"/>
                <w:b/>
                <w:bCs/>
                <w:sz w:val="22"/>
                <w:szCs w:val="22"/>
              </w:rPr>
              <w:t xml:space="preserve"> táblázat</w:t>
            </w:r>
          </w:p>
        </w:tc>
        <w:tc>
          <w:tcPr>
            <w:tcW w:w="1391"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1C4566" w:rsidP="008E4708">
            <w:pPr>
              <w:jc w:val="center"/>
              <w:rPr>
                <w:rFonts w:ascii="Arial" w:hAnsi="Arial" w:cs="Arial"/>
                <w:sz w:val="22"/>
                <w:szCs w:val="22"/>
              </w:rPr>
            </w:pPr>
            <w:r w:rsidRPr="008A4AFC">
              <w:rPr>
                <w:rFonts w:ascii="Arial" w:hAnsi="Arial" w:cs="Arial"/>
                <w:sz w:val="22"/>
                <w:szCs w:val="22"/>
              </w:rPr>
              <w:t>Életkor</w:t>
            </w:r>
          </w:p>
        </w:tc>
        <w:tc>
          <w:tcPr>
            <w:tcW w:w="1545"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8E4708" w:rsidP="008E4708">
            <w:pPr>
              <w:jc w:val="center"/>
              <w:rPr>
                <w:rFonts w:ascii="Arial" w:hAnsi="Arial" w:cs="Arial"/>
                <w:sz w:val="22"/>
                <w:szCs w:val="22"/>
              </w:rPr>
            </w:pPr>
            <w:r>
              <w:rPr>
                <w:rFonts w:ascii="Arial" w:hAnsi="Arial" w:cs="Arial"/>
                <w:sz w:val="22"/>
                <w:szCs w:val="22"/>
              </w:rPr>
              <w:t>Megyei II-III. sport</w:t>
            </w:r>
            <w:r w:rsidR="001C4566" w:rsidRPr="008A4AFC">
              <w:rPr>
                <w:rFonts w:ascii="Arial" w:hAnsi="Arial" w:cs="Arial"/>
                <w:sz w:val="22"/>
                <w:szCs w:val="22"/>
              </w:rPr>
              <w:t>szervezet</w:t>
            </w:r>
          </w:p>
        </w:tc>
        <w:tc>
          <w:tcPr>
            <w:tcW w:w="1545"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8E4708" w:rsidP="008E4708">
            <w:pPr>
              <w:jc w:val="center"/>
              <w:rPr>
                <w:rFonts w:ascii="Arial" w:hAnsi="Arial" w:cs="Arial"/>
                <w:sz w:val="22"/>
                <w:szCs w:val="22"/>
              </w:rPr>
            </w:pPr>
            <w:r>
              <w:rPr>
                <w:rFonts w:ascii="Arial" w:hAnsi="Arial" w:cs="Arial"/>
                <w:sz w:val="22"/>
                <w:szCs w:val="22"/>
              </w:rPr>
              <w:t xml:space="preserve">Megyei </w:t>
            </w:r>
            <w:proofErr w:type="gramStart"/>
            <w:r>
              <w:rPr>
                <w:rFonts w:ascii="Arial" w:hAnsi="Arial" w:cs="Arial"/>
                <w:sz w:val="22"/>
                <w:szCs w:val="22"/>
              </w:rPr>
              <w:t>I.  sport</w:t>
            </w:r>
            <w:r w:rsidR="001C4566" w:rsidRPr="008A4AFC">
              <w:rPr>
                <w:rFonts w:ascii="Arial" w:hAnsi="Arial" w:cs="Arial"/>
                <w:sz w:val="22"/>
                <w:szCs w:val="22"/>
              </w:rPr>
              <w:t>szervezet</w:t>
            </w:r>
            <w:proofErr w:type="gramEnd"/>
          </w:p>
        </w:tc>
        <w:tc>
          <w:tcPr>
            <w:tcW w:w="1545"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8E4708" w:rsidP="008E4708">
            <w:pPr>
              <w:jc w:val="center"/>
              <w:rPr>
                <w:rFonts w:ascii="Arial" w:hAnsi="Arial" w:cs="Arial"/>
                <w:sz w:val="22"/>
                <w:szCs w:val="22"/>
              </w:rPr>
            </w:pPr>
            <w:r>
              <w:rPr>
                <w:rFonts w:ascii="Arial" w:hAnsi="Arial" w:cs="Arial"/>
                <w:sz w:val="22"/>
                <w:szCs w:val="22"/>
              </w:rPr>
              <w:t>NB III</w:t>
            </w:r>
            <w:r w:rsidR="001C4566" w:rsidRPr="008A4AFC">
              <w:rPr>
                <w:rFonts w:ascii="Arial" w:hAnsi="Arial" w:cs="Arial"/>
                <w:sz w:val="22"/>
                <w:szCs w:val="22"/>
              </w:rPr>
              <w:t>. sportszervezet</w:t>
            </w:r>
          </w:p>
        </w:tc>
        <w:tc>
          <w:tcPr>
            <w:tcW w:w="1545"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8E4708" w:rsidP="008E4708">
            <w:pPr>
              <w:jc w:val="center"/>
              <w:rPr>
                <w:rFonts w:ascii="Arial" w:hAnsi="Arial" w:cs="Arial"/>
                <w:sz w:val="22"/>
                <w:szCs w:val="22"/>
              </w:rPr>
            </w:pPr>
            <w:r>
              <w:rPr>
                <w:rFonts w:ascii="Arial" w:hAnsi="Arial" w:cs="Arial"/>
                <w:sz w:val="22"/>
                <w:szCs w:val="22"/>
              </w:rPr>
              <w:t>NB II. sport</w:t>
            </w:r>
            <w:r w:rsidR="001C4566" w:rsidRPr="008A4AFC">
              <w:rPr>
                <w:rFonts w:ascii="Arial" w:hAnsi="Arial" w:cs="Arial"/>
                <w:sz w:val="22"/>
                <w:szCs w:val="22"/>
              </w:rPr>
              <w:t>szervezet</w:t>
            </w:r>
          </w:p>
        </w:tc>
        <w:tc>
          <w:tcPr>
            <w:tcW w:w="1545" w:type="dxa"/>
            <w:tcBorders>
              <w:top w:val="single" w:sz="8" w:space="0" w:color="auto"/>
              <w:left w:val="nil"/>
              <w:bottom w:val="single" w:sz="8" w:space="0" w:color="auto"/>
              <w:right w:val="single" w:sz="8" w:space="0" w:color="auto"/>
            </w:tcBorders>
            <w:shd w:val="clear" w:color="auto" w:fill="D9B717"/>
            <w:tcMar>
              <w:top w:w="0" w:type="dxa"/>
              <w:left w:w="57" w:type="dxa"/>
              <w:bottom w:w="0" w:type="dxa"/>
              <w:right w:w="57" w:type="dxa"/>
            </w:tcMar>
            <w:vAlign w:val="center"/>
            <w:hideMark/>
          </w:tcPr>
          <w:p w:rsidR="001C4566" w:rsidRPr="008A4AFC" w:rsidRDefault="001C4566" w:rsidP="008E4708">
            <w:pPr>
              <w:jc w:val="center"/>
              <w:rPr>
                <w:rFonts w:ascii="Arial" w:hAnsi="Arial" w:cs="Arial"/>
                <w:sz w:val="22"/>
                <w:szCs w:val="22"/>
              </w:rPr>
            </w:pPr>
            <w:r w:rsidRPr="008A4AFC">
              <w:rPr>
                <w:rFonts w:ascii="Arial" w:hAnsi="Arial" w:cs="Arial"/>
                <w:sz w:val="22"/>
                <w:szCs w:val="22"/>
              </w:rPr>
              <w:t xml:space="preserve">NB I. </w:t>
            </w:r>
            <w:r w:rsidR="008E4708">
              <w:rPr>
                <w:rFonts w:ascii="Arial" w:hAnsi="Arial" w:cs="Arial"/>
                <w:sz w:val="22"/>
                <w:szCs w:val="22"/>
              </w:rPr>
              <w:t>sport</w:t>
            </w:r>
            <w:r w:rsidRPr="008A4AFC">
              <w:rPr>
                <w:rFonts w:ascii="Arial" w:hAnsi="Arial" w:cs="Arial"/>
                <w:sz w:val="22"/>
                <w:szCs w:val="22"/>
              </w:rPr>
              <w:t>szervezet</w:t>
            </w:r>
          </w:p>
        </w:tc>
      </w:tr>
      <w:tr w:rsidR="001C4566" w:rsidRPr="008A4AFC" w:rsidTr="008E4708">
        <w:trPr>
          <w:trHeight w:val="511"/>
        </w:trPr>
        <w:tc>
          <w:tcPr>
            <w:tcW w:w="10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w:t>
            </w:r>
          </w:p>
        </w:tc>
        <w:tc>
          <w:tcPr>
            <w:tcW w:w="13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8E4708" w:rsidP="008E4708">
            <w:pPr>
              <w:jc w:val="both"/>
              <w:rPr>
                <w:rFonts w:ascii="Arial" w:hAnsi="Arial" w:cs="Arial"/>
                <w:sz w:val="22"/>
                <w:szCs w:val="22"/>
              </w:rPr>
            </w:pPr>
            <w:r>
              <w:rPr>
                <w:rFonts w:ascii="Arial" w:hAnsi="Arial" w:cs="Arial"/>
                <w:sz w:val="22"/>
                <w:szCs w:val="22"/>
              </w:rPr>
              <w:t>19</w:t>
            </w:r>
            <w:r w:rsidR="001C4566" w:rsidRPr="008A4AFC">
              <w:rPr>
                <w:rFonts w:ascii="Arial" w:hAnsi="Arial" w:cs="Arial"/>
                <w:sz w:val="22"/>
                <w:szCs w:val="22"/>
              </w:rPr>
              <w:t>-21 éves korig</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75 000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150 000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300 000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 xml:space="preserve">1 000 </w:t>
            </w:r>
            <w:proofErr w:type="spellStart"/>
            <w:r w:rsidRPr="008A4AFC">
              <w:rPr>
                <w:rFonts w:ascii="Arial" w:hAnsi="Arial" w:cs="Arial"/>
                <w:sz w:val="22"/>
                <w:szCs w:val="22"/>
              </w:rPr>
              <w:t>000</w:t>
            </w:r>
            <w:proofErr w:type="spellEnd"/>
          </w:p>
        </w:tc>
      </w:tr>
      <w:tr w:rsidR="001C4566" w:rsidRPr="008A4AFC" w:rsidTr="008E4708">
        <w:trPr>
          <w:trHeight w:val="502"/>
        </w:trPr>
        <w:tc>
          <w:tcPr>
            <w:tcW w:w="10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2.</w:t>
            </w:r>
          </w:p>
        </w:tc>
        <w:tc>
          <w:tcPr>
            <w:tcW w:w="13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8E4708" w:rsidP="008E4708">
            <w:pPr>
              <w:jc w:val="both"/>
              <w:rPr>
                <w:rFonts w:ascii="Arial" w:hAnsi="Arial" w:cs="Arial"/>
                <w:sz w:val="22"/>
                <w:szCs w:val="22"/>
              </w:rPr>
            </w:pPr>
            <w:r>
              <w:rPr>
                <w:rFonts w:ascii="Arial" w:hAnsi="Arial" w:cs="Arial"/>
                <w:sz w:val="22"/>
                <w:szCs w:val="22"/>
              </w:rPr>
              <w:t>22</w:t>
            </w:r>
            <w:r w:rsidR="001C4566" w:rsidRPr="008A4AFC">
              <w:rPr>
                <w:rFonts w:ascii="Arial" w:hAnsi="Arial" w:cs="Arial"/>
                <w:sz w:val="22"/>
                <w:szCs w:val="22"/>
              </w:rPr>
              <w:t>-23 éves korig</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75 000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150 000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300 000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 xml:space="preserve">1 000 </w:t>
            </w:r>
            <w:proofErr w:type="spellStart"/>
            <w:r w:rsidRPr="008A4AFC">
              <w:rPr>
                <w:rFonts w:ascii="Arial" w:hAnsi="Arial" w:cs="Arial"/>
                <w:sz w:val="22"/>
                <w:szCs w:val="22"/>
              </w:rPr>
              <w:t>000</w:t>
            </w:r>
            <w:proofErr w:type="spellEnd"/>
          </w:p>
        </w:tc>
      </w:tr>
      <w:tr w:rsidR="001C4566" w:rsidRPr="008A4AFC" w:rsidTr="008E4708">
        <w:trPr>
          <w:trHeight w:val="502"/>
        </w:trPr>
        <w:tc>
          <w:tcPr>
            <w:tcW w:w="10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3.</w:t>
            </w:r>
          </w:p>
        </w:tc>
        <w:tc>
          <w:tcPr>
            <w:tcW w:w="13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8E4708" w:rsidP="00EC637B">
            <w:pPr>
              <w:jc w:val="both"/>
              <w:rPr>
                <w:rFonts w:ascii="Arial" w:hAnsi="Arial" w:cs="Arial"/>
                <w:sz w:val="22"/>
                <w:szCs w:val="22"/>
              </w:rPr>
            </w:pPr>
            <w:r>
              <w:rPr>
                <w:rFonts w:ascii="Arial" w:hAnsi="Arial" w:cs="Arial"/>
                <w:sz w:val="22"/>
                <w:szCs w:val="22"/>
              </w:rPr>
              <w:t xml:space="preserve">24-30 </w:t>
            </w:r>
            <w:r w:rsidR="001C4566" w:rsidRPr="008A4AFC">
              <w:rPr>
                <w:rFonts w:ascii="Arial" w:hAnsi="Arial" w:cs="Arial"/>
                <w:sz w:val="22"/>
                <w:szCs w:val="22"/>
              </w:rPr>
              <w:t>éves korig</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130 000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200 000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500 000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1 500 000</w:t>
            </w:r>
          </w:p>
        </w:tc>
      </w:tr>
      <w:tr w:rsidR="001C4566" w:rsidRPr="008A4AFC" w:rsidTr="008E4708">
        <w:trPr>
          <w:trHeight w:val="511"/>
        </w:trPr>
        <w:tc>
          <w:tcPr>
            <w:tcW w:w="10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4.</w:t>
            </w:r>
          </w:p>
        </w:tc>
        <w:tc>
          <w:tcPr>
            <w:tcW w:w="13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8E4708" w:rsidP="008E4708">
            <w:pPr>
              <w:jc w:val="both"/>
              <w:rPr>
                <w:rFonts w:ascii="Arial" w:hAnsi="Arial" w:cs="Arial"/>
                <w:sz w:val="22"/>
                <w:szCs w:val="22"/>
              </w:rPr>
            </w:pPr>
            <w:r>
              <w:rPr>
                <w:rFonts w:ascii="Arial" w:hAnsi="Arial" w:cs="Arial"/>
                <w:sz w:val="22"/>
                <w:szCs w:val="22"/>
              </w:rPr>
              <w:t>30-34</w:t>
            </w:r>
            <w:r w:rsidR="001C4566" w:rsidRPr="008A4AFC">
              <w:rPr>
                <w:rFonts w:ascii="Arial" w:hAnsi="Arial" w:cs="Arial"/>
                <w:sz w:val="22"/>
                <w:szCs w:val="22"/>
              </w:rPr>
              <w:t xml:space="preserve"> éves korig</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75 000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150 000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300 000</w:t>
            </w:r>
          </w:p>
        </w:tc>
        <w:tc>
          <w:tcPr>
            <w:tcW w:w="15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1C4566" w:rsidRPr="008A4AFC" w:rsidRDefault="001C4566" w:rsidP="00EC637B">
            <w:pPr>
              <w:jc w:val="both"/>
              <w:rPr>
                <w:rFonts w:ascii="Arial" w:hAnsi="Arial" w:cs="Arial"/>
                <w:sz w:val="22"/>
                <w:szCs w:val="22"/>
              </w:rPr>
            </w:pPr>
            <w:r w:rsidRPr="008A4AFC">
              <w:rPr>
                <w:rFonts w:ascii="Arial" w:hAnsi="Arial" w:cs="Arial"/>
                <w:sz w:val="22"/>
                <w:szCs w:val="22"/>
              </w:rPr>
              <w:t xml:space="preserve">1 000 </w:t>
            </w:r>
            <w:proofErr w:type="spellStart"/>
            <w:r w:rsidRPr="008A4AFC">
              <w:rPr>
                <w:rFonts w:ascii="Arial" w:hAnsi="Arial" w:cs="Arial"/>
                <w:sz w:val="22"/>
                <w:szCs w:val="22"/>
              </w:rPr>
              <w:t>000</w:t>
            </w:r>
            <w:proofErr w:type="spellEnd"/>
          </w:p>
        </w:tc>
      </w:tr>
    </w:tbl>
    <w:p w:rsidR="006004AF" w:rsidRPr="008A4AFC" w:rsidRDefault="006004AF" w:rsidP="00EC637B">
      <w:pPr>
        <w:jc w:val="both"/>
        <w:rPr>
          <w:rFonts w:ascii="Arial" w:hAnsi="Arial" w:cs="Arial"/>
          <w:sz w:val="22"/>
          <w:szCs w:val="22"/>
        </w:rPr>
      </w:pPr>
    </w:p>
    <w:p w:rsidR="006004AF" w:rsidRPr="008A4AFC" w:rsidRDefault="006004AF" w:rsidP="00EC637B">
      <w:pPr>
        <w:jc w:val="both"/>
        <w:rPr>
          <w:rFonts w:ascii="Arial" w:hAnsi="Arial" w:cs="Arial"/>
          <w:sz w:val="22"/>
          <w:szCs w:val="22"/>
        </w:rPr>
      </w:pPr>
    </w:p>
    <w:p w:rsidR="006004AF" w:rsidRPr="008A4AFC" w:rsidRDefault="006004AF" w:rsidP="00EC637B">
      <w:pPr>
        <w:jc w:val="both"/>
        <w:rPr>
          <w:rFonts w:ascii="Arial" w:hAnsi="Arial" w:cs="Arial"/>
          <w:sz w:val="22"/>
          <w:szCs w:val="22"/>
        </w:rPr>
      </w:pPr>
    </w:p>
    <w:p w:rsidR="00B86F13" w:rsidRPr="008A4AFC" w:rsidRDefault="001C4566" w:rsidP="00B86F13">
      <w:pPr>
        <w:pStyle w:val="Listaszerbekezds"/>
        <w:numPr>
          <w:ilvl w:val="0"/>
          <w:numId w:val="3"/>
        </w:numPr>
        <w:jc w:val="both"/>
        <w:rPr>
          <w:rFonts w:ascii="Arial" w:hAnsi="Arial" w:cs="Arial"/>
          <w:sz w:val="22"/>
          <w:szCs w:val="22"/>
        </w:rPr>
      </w:pPr>
      <w:r w:rsidRPr="008A4AFC">
        <w:rPr>
          <w:rFonts w:ascii="Arial" w:hAnsi="Arial" w:cs="Arial"/>
          <w:sz w:val="22"/>
          <w:szCs w:val="22"/>
        </w:rPr>
        <w:t>19 éven felüli</w:t>
      </w:r>
      <w:r w:rsidR="008E4708">
        <w:rPr>
          <w:rFonts w:ascii="Arial" w:hAnsi="Arial" w:cs="Arial"/>
          <w:sz w:val="22"/>
          <w:szCs w:val="22"/>
        </w:rPr>
        <w:t xml:space="preserve"> (idén</w:t>
      </w:r>
      <w:r w:rsidR="008E4708">
        <w:rPr>
          <w:rFonts w:ascii="Arial" w:hAnsi="Arial" w:cs="Arial"/>
          <w:sz w:val="22"/>
          <w:szCs w:val="22"/>
        </w:rPr>
        <w:t xml:space="preserve"> az 1997</w:t>
      </w:r>
      <w:r w:rsidR="00270675">
        <w:rPr>
          <w:rFonts w:ascii="Arial" w:hAnsi="Arial" w:cs="Arial"/>
          <w:sz w:val="22"/>
          <w:szCs w:val="22"/>
        </w:rPr>
        <w:t xml:space="preserve">. </w:t>
      </w:r>
      <w:r w:rsidR="008E4708">
        <w:rPr>
          <w:rFonts w:ascii="Arial" w:hAnsi="Arial" w:cs="Arial"/>
          <w:sz w:val="22"/>
          <w:szCs w:val="22"/>
        </w:rPr>
        <w:t>január 1</w:t>
      </w:r>
      <w:r w:rsidR="00270675">
        <w:rPr>
          <w:rFonts w:ascii="Arial" w:hAnsi="Arial" w:cs="Arial"/>
          <w:sz w:val="22"/>
          <w:szCs w:val="22"/>
        </w:rPr>
        <w:t>.</w:t>
      </w:r>
      <w:r w:rsidR="008E4708">
        <w:rPr>
          <w:rFonts w:ascii="Arial" w:hAnsi="Arial" w:cs="Arial"/>
          <w:sz w:val="22"/>
          <w:szCs w:val="22"/>
        </w:rPr>
        <w:t xml:space="preserve"> előtt született</w:t>
      </w:r>
      <w:r w:rsidR="008E4708">
        <w:rPr>
          <w:rFonts w:ascii="Arial" w:hAnsi="Arial" w:cs="Arial"/>
          <w:sz w:val="22"/>
          <w:szCs w:val="22"/>
        </w:rPr>
        <w:t xml:space="preserve">), amatőr </w:t>
      </w:r>
      <w:r w:rsidRPr="008A4AFC">
        <w:rPr>
          <w:rFonts w:ascii="Arial" w:hAnsi="Arial" w:cs="Arial"/>
          <w:sz w:val="22"/>
          <w:szCs w:val="22"/>
        </w:rPr>
        <w:t xml:space="preserve">labdarúgók </w:t>
      </w:r>
      <w:r w:rsidRPr="008E4708">
        <w:rPr>
          <w:rFonts w:ascii="Arial" w:hAnsi="Arial" w:cs="Arial"/>
          <w:b/>
          <w:i/>
          <w:sz w:val="22"/>
          <w:szCs w:val="22"/>
        </w:rPr>
        <w:t>téli</w:t>
      </w:r>
      <w:r w:rsidRPr="008A4AFC">
        <w:rPr>
          <w:rFonts w:ascii="Arial" w:hAnsi="Arial" w:cs="Arial"/>
          <w:i/>
          <w:sz w:val="22"/>
          <w:szCs w:val="22"/>
        </w:rPr>
        <w:t xml:space="preserve"> </w:t>
      </w:r>
      <w:r w:rsidRPr="008A4AFC">
        <w:rPr>
          <w:rFonts w:ascii="Arial" w:hAnsi="Arial" w:cs="Arial"/>
          <w:sz w:val="22"/>
          <w:szCs w:val="22"/>
        </w:rPr>
        <w:t>átigazolásakor a fenti táblázat szerinti maximum összegek fizetendőek, a két sportszervezet megállapodásának eredményeképpen.</w:t>
      </w:r>
    </w:p>
    <w:p w:rsidR="001C4566" w:rsidRPr="008A4AFC" w:rsidRDefault="004B5E75" w:rsidP="00B86F13">
      <w:pPr>
        <w:pStyle w:val="Listaszerbekezds"/>
        <w:numPr>
          <w:ilvl w:val="0"/>
          <w:numId w:val="3"/>
        </w:numPr>
        <w:jc w:val="both"/>
        <w:rPr>
          <w:rFonts w:ascii="Arial" w:hAnsi="Arial" w:cs="Arial"/>
          <w:sz w:val="22"/>
          <w:szCs w:val="22"/>
        </w:rPr>
      </w:pPr>
      <w:r w:rsidRPr="008A4AFC">
        <w:rPr>
          <w:rFonts w:ascii="Arial" w:hAnsi="Arial" w:cs="Arial"/>
          <w:sz w:val="22"/>
          <w:szCs w:val="22"/>
        </w:rPr>
        <w:t>Nyári átigazolásokra</w:t>
      </w:r>
      <w:r w:rsidR="00B86F13" w:rsidRPr="008A4AFC">
        <w:rPr>
          <w:rFonts w:ascii="Arial" w:hAnsi="Arial" w:cs="Arial"/>
          <w:sz w:val="22"/>
          <w:szCs w:val="22"/>
        </w:rPr>
        <w:t xml:space="preserve"> a működési költségtérítés</w:t>
      </w:r>
      <w:r w:rsidRPr="008A4AFC">
        <w:rPr>
          <w:rFonts w:ascii="Arial" w:hAnsi="Arial" w:cs="Arial"/>
          <w:sz w:val="22"/>
          <w:szCs w:val="22"/>
        </w:rPr>
        <w:t xml:space="preserve"> nem vonatkozik. </w:t>
      </w:r>
    </w:p>
    <w:p w:rsidR="001C4566" w:rsidRPr="008A4AFC" w:rsidRDefault="004B5E75" w:rsidP="00B86F13">
      <w:pPr>
        <w:pStyle w:val="Listaszerbekezds"/>
        <w:numPr>
          <w:ilvl w:val="0"/>
          <w:numId w:val="3"/>
        </w:numPr>
        <w:jc w:val="both"/>
        <w:rPr>
          <w:rFonts w:ascii="Arial" w:hAnsi="Arial" w:cs="Arial"/>
          <w:sz w:val="22"/>
          <w:szCs w:val="22"/>
        </w:rPr>
      </w:pPr>
      <w:r w:rsidRPr="008A4AFC">
        <w:rPr>
          <w:rFonts w:ascii="Arial" w:hAnsi="Arial" w:cs="Arial"/>
          <w:sz w:val="22"/>
          <w:szCs w:val="22"/>
        </w:rPr>
        <w:t xml:space="preserve">Átadó sportszervezet a </w:t>
      </w:r>
      <w:r w:rsidR="001C4566" w:rsidRPr="008A4AFC">
        <w:rPr>
          <w:rFonts w:ascii="Arial" w:hAnsi="Arial" w:cs="Arial"/>
          <w:sz w:val="22"/>
          <w:szCs w:val="22"/>
        </w:rPr>
        <w:t>fenti</w:t>
      </w:r>
      <w:r w:rsidRPr="008A4AFC">
        <w:rPr>
          <w:rFonts w:ascii="Arial" w:hAnsi="Arial" w:cs="Arial"/>
          <w:sz w:val="22"/>
          <w:szCs w:val="22"/>
        </w:rPr>
        <w:t>,</w:t>
      </w:r>
      <w:r w:rsidR="001C4566" w:rsidRPr="008A4AFC">
        <w:rPr>
          <w:rFonts w:ascii="Arial" w:hAnsi="Arial" w:cs="Arial"/>
          <w:sz w:val="22"/>
          <w:szCs w:val="22"/>
        </w:rPr>
        <w:t xml:space="preserve"> működési költségtérítés meghatározott összegéről írásban lemondhat. </w:t>
      </w:r>
    </w:p>
    <w:p w:rsidR="001C4566" w:rsidRPr="008A4AFC" w:rsidRDefault="001C4566" w:rsidP="00B86F13">
      <w:pPr>
        <w:pStyle w:val="Listaszerbekezds"/>
        <w:numPr>
          <w:ilvl w:val="0"/>
          <w:numId w:val="3"/>
        </w:numPr>
        <w:jc w:val="both"/>
        <w:rPr>
          <w:rFonts w:ascii="Arial" w:hAnsi="Arial" w:cs="Arial"/>
          <w:sz w:val="22"/>
          <w:szCs w:val="22"/>
        </w:rPr>
      </w:pPr>
      <w:r w:rsidRPr="008A4AFC">
        <w:rPr>
          <w:rFonts w:ascii="Arial" w:hAnsi="Arial" w:cs="Arial"/>
          <w:sz w:val="22"/>
          <w:szCs w:val="22"/>
        </w:rPr>
        <w:t>A megállapított működési költségtérítést minden egyes téli átigazolás e</w:t>
      </w:r>
      <w:r w:rsidR="00B86F13" w:rsidRPr="008A4AFC">
        <w:rPr>
          <w:rFonts w:ascii="Arial" w:hAnsi="Arial" w:cs="Arial"/>
          <w:sz w:val="22"/>
          <w:szCs w:val="22"/>
        </w:rPr>
        <w:t xml:space="preserve">setén meg kell fizetni, kivéve </w:t>
      </w:r>
      <w:r w:rsidRPr="008A4AFC">
        <w:rPr>
          <w:rFonts w:ascii="Arial" w:hAnsi="Arial" w:cs="Arial"/>
          <w:sz w:val="22"/>
          <w:szCs w:val="22"/>
        </w:rPr>
        <w:t xml:space="preserve">lemondás esetén. </w:t>
      </w:r>
    </w:p>
    <w:p w:rsidR="004B5E75" w:rsidRDefault="004B5E75" w:rsidP="00EC637B">
      <w:pPr>
        <w:jc w:val="both"/>
        <w:rPr>
          <w:rFonts w:ascii="Arial" w:hAnsi="Arial" w:cs="Arial"/>
          <w:sz w:val="22"/>
          <w:szCs w:val="22"/>
        </w:rPr>
      </w:pPr>
    </w:p>
    <w:p w:rsidR="008E4708" w:rsidRDefault="008E4708" w:rsidP="00EC637B">
      <w:pPr>
        <w:jc w:val="both"/>
        <w:rPr>
          <w:rFonts w:ascii="Arial" w:hAnsi="Arial" w:cs="Arial"/>
          <w:sz w:val="22"/>
          <w:szCs w:val="22"/>
        </w:rPr>
      </w:pPr>
    </w:p>
    <w:p w:rsidR="00270675" w:rsidRDefault="00270675" w:rsidP="00EC637B">
      <w:pPr>
        <w:jc w:val="both"/>
        <w:rPr>
          <w:rFonts w:ascii="Arial" w:hAnsi="Arial" w:cs="Arial"/>
          <w:sz w:val="22"/>
          <w:szCs w:val="22"/>
        </w:rPr>
      </w:pPr>
    </w:p>
    <w:p w:rsidR="00270675" w:rsidRDefault="00270675" w:rsidP="00EC637B">
      <w:pPr>
        <w:jc w:val="both"/>
        <w:rPr>
          <w:rFonts w:ascii="Arial" w:hAnsi="Arial" w:cs="Arial"/>
          <w:sz w:val="22"/>
          <w:szCs w:val="22"/>
        </w:rPr>
      </w:pPr>
    </w:p>
    <w:p w:rsidR="00270675" w:rsidRPr="008A4AFC" w:rsidRDefault="00270675" w:rsidP="00EC637B">
      <w:pPr>
        <w:jc w:val="both"/>
        <w:rPr>
          <w:rFonts w:ascii="Arial" w:hAnsi="Arial" w:cs="Arial"/>
          <w:sz w:val="22"/>
          <w:szCs w:val="22"/>
        </w:rPr>
      </w:pPr>
    </w:p>
    <w:p w:rsidR="00F3047D" w:rsidRPr="008A4AFC" w:rsidRDefault="00F3047D" w:rsidP="00EC637B">
      <w:pPr>
        <w:jc w:val="both"/>
        <w:rPr>
          <w:rFonts w:ascii="Arial" w:hAnsi="Arial" w:cs="Arial"/>
          <w:sz w:val="22"/>
          <w:szCs w:val="22"/>
        </w:rPr>
      </w:pPr>
    </w:p>
    <w:p w:rsidR="001C4566" w:rsidRPr="008A4AFC" w:rsidRDefault="00B01EA1" w:rsidP="00EC637B">
      <w:pPr>
        <w:jc w:val="both"/>
        <w:rPr>
          <w:rFonts w:ascii="Arial" w:hAnsi="Arial" w:cs="Arial"/>
          <w:b/>
          <w:sz w:val="22"/>
          <w:szCs w:val="22"/>
        </w:rPr>
      </w:pPr>
      <w:r>
        <w:rPr>
          <w:rFonts w:ascii="Arial" w:hAnsi="Arial" w:cs="Arial"/>
          <w:b/>
          <w:sz w:val="22"/>
          <w:szCs w:val="22"/>
        </w:rPr>
        <w:lastRenderedPageBreak/>
        <w:t>B</w:t>
      </w:r>
      <w:r w:rsidR="001C4566" w:rsidRPr="008A4AFC">
        <w:rPr>
          <w:rFonts w:ascii="Arial" w:hAnsi="Arial" w:cs="Arial"/>
          <w:b/>
          <w:sz w:val="22"/>
          <w:szCs w:val="22"/>
        </w:rPr>
        <w:t>. Táblázat</w:t>
      </w:r>
    </w:p>
    <w:p w:rsidR="001C4566" w:rsidRPr="008A4AFC" w:rsidRDefault="001C4566" w:rsidP="00EC637B">
      <w:pPr>
        <w:jc w:val="both"/>
        <w:rPr>
          <w:rFonts w:ascii="Arial" w:hAnsi="Arial" w:cs="Arial"/>
          <w:sz w:val="22"/>
          <w:szCs w:val="22"/>
        </w:rPr>
      </w:pPr>
      <w:r w:rsidRPr="008A4AFC">
        <w:rPr>
          <w:rFonts w:ascii="Arial" w:hAnsi="Arial" w:cs="Arial"/>
          <w:sz w:val="22"/>
          <w:szCs w:val="22"/>
        </w:rPr>
        <w:t>Működési költségtérítés 19 éven aluli</w:t>
      </w:r>
      <w:r w:rsidR="00270675">
        <w:rPr>
          <w:rFonts w:ascii="Arial" w:hAnsi="Arial" w:cs="Arial"/>
          <w:sz w:val="22"/>
          <w:szCs w:val="22"/>
        </w:rPr>
        <w:t xml:space="preserve"> (</w:t>
      </w:r>
      <w:r w:rsidR="00270675">
        <w:rPr>
          <w:rFonts w:ascii="Arial" w:hAnsi="Arial" w:cs="Arial"/>
          <w:sz w:val="22"/>
          <w:szCs w:val="22"/>
        </w:rPr>
        <w:t>1997</w:t>
      </w:r>
      <w:r w:rsidR="00270675">
        <w:rPr>
          <w:rFonts w:ascii="Arial" w:hAnsi="Arial" w:cs="Arial"/>
          <w:sz w:val="22"/>
          <w:szCs w:val="22"/>
        </w:rPr>
        <w:t>.</w:t>
      </w:r>
      <w:r w:rsidR="00270675">
        <w:rPr>
          <w:rFonts w:ascii="Arial" w:hAnsi="Arial" w:cs="Arial"/>
          <w:sz w:val="22"/>
          <w:szCs w:val="22"/>
        </w:rPr>
        <w:t xml:space="preserve"> január 1</w:t>
      </w:r>
      <w:r w:rsidR="00270675">
        <w:rPr>
          <w:rFonts w:ascii="Arial" w:hAnsi="Arial" w:cs="Arial"/>
          <w:sz w:val="22"/>
          <w:szCs w:val="22"/>
        </w:rPr>
        <w:t>. után</w:t>
      </w:r>
      <w:r w:rsidR="00270675">
        <w:rPr>
          <w:rFonts w:ascii="Arial" w:hAnsi="Arial" w:cs="Arial"/>
          <w:sz w:val="22"/>
          <w:szCs w:val="22"/>
        </w:rPr>
        <w:t xml:space="preserve"> született</w:t>
      </w:r>
      <w:r w:rsidR="00270675" w:rsidRPr="008A4AFC">
        <w:rPr>
          <w:rFonts w:ascii="Arial" w:hAnsi="Arial" w:cs="Arial"/>
          <w:sz w:val="22"/>
          <w:szCs w:val="22"/>
        </w:rPr>
        <w:t>) amatőr</w:t>
      </w:r>
      <w:r w:rsidRPr="008A4AFC">
        <w:rPr>
          <w:rFonts w:ascii="Arial" w:hAnsi="Arial" w:cs="Arial"/>
          <w:sz w:val="22"/>
          <w:szCs w:val="22"/>
        </w:rPr>
        <w:t xml:space="preserve"> labdarúgók esetében</w:t>
      </w:r>
    </w:p>
    <w:p w:rsidR="001C4566" w:rsidRPr="008A4AFC" w:rsidRDefault="001C4566" w:rsidP="00EC637B">
      <w:pPr>
        <w:jc w:val="both"/>
        <w:rPr>
          <w:rFonts w:ascii="Arial" w:hAnsi="Arial" w:cs="Arial"/>
          <w:sz w:val="22"/>
          <w:szCs w:val="22"/>
        </w:rPr>
      </w:pPr>
    </w:p>
    <w:p w:rsidR="001C4566" w:rsidRPr="008A4AFC" w:rsidRDefault="001C4566" w:rsidP="00EC637B">
      <w:pPr>
        <w:jc w:val="both"/>
        <w:rPr>
          <w:rFonts w:ascii="Arial" w:hAnsi="Arial" w:cs="Arial"/>
          <w:sz w:val="22"/>
          <w:szCs w:val="22"/>
        </w:rPr>
      </w:pPr>
    </w:p>
    <w:p w:rsidR="001C4566" w:rsidRPr="008A4AFC" w:rsidRDefault="001C4566" w:rsidP="00EC637B">
      <w:pPr>
        <w:jc w:val="both"/>
        <w:rPr>
          <w:rFonts w:ascii="Arial" w:hAnsi="Arial" w:cs="Arial"/>
          <w:sz w:val="22"/>
          <w:szCs w:val="22"/>
        </w:rPr>
      </w:pPr>
    </w:p>
    <w:tbl>
      <w:tblPr>
        <w:tblpPr w:leftFromText="141" w:rightFromText="141" w:topFromText="164" w:vertAnchor="text"/>
        <w:tblW w:w="0" w:type="auto"/>
        <w:tblCellMar>
          <w:left w:w="0" w:type="dxa"/>
          <w:right w:w="0" w:type="dxa"/>
        </w:tblCellMar>
        <w:tblLook w:val="04A0" w:firstRow="1" w:lastRow="0" w:firstColumn="1" w:lastColumn="0" w:noHBand="0" w:noVBand="1"/>
      </w:tblPr>
      <w:tblGrid>
        <w:gridCol w:w="975"/>
        <w:gridCol w:w="1879"/>
        <w:gridCol w:w="1879"/>
        <w:gridCol w:w="1879"/>
        <w:gridCol w:w="2568"/>
      </w:tblGrid>
      <w:tr w:rsidR="001C4566" w:rsidRPr="008A4AFC" w:rsidTr="00270675">
        <w:trPr>
          <w:trHeight w:val="184"/>
        </w:trPr>
        <w:tc>
          <w:tcPr>
            <w:tcW w:w="9180"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1C4566" w:rsidRPr="008A4AFC" w:rsidRDefault="001C4566" w:rsidP="00EC637B">
            <w:pPr>
              <w:spacing w:before="200"/>
              <w:jc w:val="both"/>
              <w:rPr>
                <w:rFonts w:ascii="Arial" w:hAnsi="Arial" w:cs="Arial"/>
                <w:b/>
                <w:bCs/>
                <w:sz w:val="22"/>
                <w:szCs w:val="22"/>
                <w:lang w:val="en-US"/>
              </w:rPr>
            </w:pPr>
            <w:r w:rsidRPr="008A4AFC">
              <w:rPr>
                <w:rFonts w:ascii="Arial" w:hAnsi="Arial" w:cs="Arial"/>
                <w:b/>
                <w:bCs/>
                <w:sz w:val="22"/>
                <w:szCs w:val="22"/>
                <w:lang w:val="en-US"/>
              </w:rPr>
              <w:t xml:space="preserve">Utánpótlás </w:t>
            </w:r>
            <w:proofErr w:type="spellStart"/>
            <w:r w:rsidRPr="008A4AFC">
              <w:rPr>
                <w:rFonts w:ascii="Arial" w:hAnsi="Arial" w:cs="Arial"/>
                <w:b/>
                <w:bCs/>
                <w:sz w:val="22"/>
                <w:szCs w:val="22"/>
                <w:lang w:val="en-US"/>
              </w:rPr>
              <w:t>működési</w:t>
            </w:r>
            <w:proofErr w:type="spellEnd"/>
            <w:r w:rsidRPr="008A4AFC">
              <w:rPr>
                <w:rFonts w:ascii="Arial" w:hAnsi="Arial" w:cs="Arial"/>
                <w:b/>
                <w:bCs/>
                <w:sz w:val="22"/>
                <w:szCs w:val="22"/>
                <w:lang w:val="en-US"/>
              </w:rPr>
              <w:t xml:space="preserve"> </w:t>
            </w:r>
            <w:proofErr w:type="spellStart"/>
            <w:r w:rsidRPr="008A4AFC">
              <w:rPr>
                <w:rFonts w:ascii="Arial" w:hAnsi="Arial" w:cs="Arial"/>
                <w:b/>
                <w:bCs/>
                <w:sz w:val="22"/>
                <w:szCs w:val="22"/>
                <w:lang w:val="en-US"/>
              </w:rPr>
              <w:t>költségtérítés</w:t>
            </w:r>
            <w:proofErr w:type="spellEnd"/>
            <w:r w:rsidRPr="008A4AFC">
              <w:rPr>
                <w:rFonts w:ascii="Arial" w:hAnsi="Arial" w:cs="Arial"/>
                <w:b/>
                <w:bCs/>
                <w:sz w:val="22"/>
                <w:szCs w:val="22"/>
                <w:lang w:val="en-US"/>
              </w:rPr>
              <w:t xml:space="preserve"> a </w:t>
            </w:r>
            <w:proofErr w:type="spellStart"/>
            <w:r w:rsidRPr="008A4AFC">
              <w:rPr>
                <w:rFonts w:ascii="Arial" w:hAnsi="Arial" w:cs="Arial"/>
                <w:b/>
                <w:bCs/>
                <w:sz w:val="22"/>
                <w:szCs w:val="22"/>
                <w:lang w:val="en-US"/>
              </w:rPr>
              <w:t>szerződéssel</w:t>
            </w:r>
            <w:proofErr w:type="spellEnd"/>
            <w:r w:rsidRPr="008A4AFC">
              <w:rPr>
                <w:rFonts w:ascii="Arial" w:hAnsi="Arial" w:cs="Arial"/>
                <w:b/>
                <w:bCs/>
                <w:sz w:val="22"/>
                <w:szCs w:val="22"/>
                <w:lang w:val="en-US"/>
              </w:rPr>
              <w:t xml:space="preserve"> </w:t>
            </w:r>
            <w:proofErr w:type="spellStart"/>
            <w:r w:rsidRPr="008A4AFC">
              <w:rPr>
                <w:rFonts w:ascii="Arial" w:hAnsi="Arial" w:cs="Arial"/>
                <w:b/>
                <w:bCs/>
                <w:sz w:val="22"/>
                <w:szCs w:val="22"/>
                <w:lang w:val="en-US"/>
              </w:rPr>
              <w:t>nem</w:t>
            </w:r>
            <w:proofErr w:type="spellEnd"/>
            <w:r w:rsidRPr="008A4AFC">
              <w:rPr>
                <w:rFonts w:ascii="Arial" w:hAnsi="Arial" w:cs="Arial"/>
                <w:b/>
                <w:bCs/>
                <w:sz w:val="22"/>
                <w:szCs w:val="22"/>
                <w:lang w:val="en-US"/>
              </w:rPr>
              <w:t xml:space="preserve"> </w:t>
            </w:r>
            <w:proofErr w:type="spellStart"/>
            <w:r w:rsidRPr="008A4AFC">
              <w:rPr>
                <w:rFonts w:ascii="Arial" w:hAnsi="Arial" w:cs="Arial"/>
                <w:b/>
                <w:bCs/>
                <w:sz w:val="22"/>
                <w:szCs w:val="22"/>
                <w:lang w:val="en-US"/>
              </w:rPr>
              <w:t>rendelkező</w:t>
            </w:r>
            <w:proofErr w:type="spellEnd"/>
            <w:r w:rsidRPr="008A4AFC">
              <w:rPr>
                <w:rFonts w:ascii="Arial" w:hAnsi="Arial" w:cs="Arial"/>
                <w:b/>
                <w:bCs/>
                <w:sz w:val="22"/>
                <w:szCs w:val="22"/>
                <w:lang w:val="en-US"/>
              </w:rPr>
              <w:t xml:space="preserve"> </w:t>
            </w:r>
            <w:proofErr w:type="spellStart"/>
            <w:r w:rsidRPr="008A4AFC">
              <w:rPr>
                <w:rFonts w:ascii="Arial" w:hAnsi="Arial" w:cs="Arial"/>
                <w:b/>
                <w:bCs/>
                <w:sz w:val="22"/>
                <w:szCs w:val="22"/>
                <w:lang w:val="en-US"/>
              </w:rPr>
              <w:t>játékosok</w:t>
            </w:r>
            <w:proofErr w:type="spellEnd"/>
            <w:r w:rsidRPr="008A4AFC">
              <w:rPr>
                <w:rFonts w:ascii="Arial" w:hAnsi="Arial" w:cs="Arial"/>
                <w:b/>
                <w:bCs/>
                <w:sz w:val="22"/>
                <w:szCs w:val="22"/>
                <w:lang w:val="en-US"/>
              </w:rPr>
              <w:t xml:space="preserve"> </w:t>
            </w:r>
            <w:proofErr w:type="spellStart"/>
            <w:r w:rsidRPr="008A4AFC">
              <w:rPr>
                <w:rFonts w:ascii="Arial" w:hAnsi="Arial" w:cs="Arial"/>
                <w:b/>
                <w:bCs/>
                <w:sz w:val="22"/>
                <w:szCs w:val="22"/>
                <w:lang w:val="en-US"/>
              </w:rPr>
              <w:t>esetén</w:t>
            </w:r>
            <w:proofErr w:type="spellEnd"/>
          </w:p>
        </w:tc>
      </w:tr>
      <w:tr w:rsidR="001C4566" w:rsidRPr="008A4AFC" w:rsidTr="00270675">
        <w:trPr>
          <w:trHeight w:val="118"/>
        </w:trPr>
        <w:tc>
          <w:tcPr>
            <w:tcW w:w="2854" w:type="dxa"/>
            <w:gridSpan w:val="2"/>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C4566" w:rsidRPr="008A4AFC" w:rsidRDefault="001C4566" w:rsidP="00EC637B">
            <w:pPr>
              <w:spacing w:before="200"/>
              <w:jc w:val="both"/>
              <w:rPr>
                <w:rFonts w:ascii="Arial" w:hAnsi="Arial" w:cs="Arial"/>
                <w:b/>
                <w:bCs/>
                <w:sz w:val="22"/>
                <w:szCs w:val="22"/>
                <w:lang w:val="en-US"/>
              </w:rPr>
            </w:pPr>
            <w:r w:rsidRPr="008A4AFC">
              <w:rPr>
                <w:rFonts w:ascii="Arial" w:hAnsi="Arial" w:cs="Arial"/>
                <w:sz w:val="22"/>
                <w:szCs w:val="22"/>
                <w:lang w:val="en-US"/>
              </w:rPr>
              <w:br/>
            </w:r>
            <w:r w:rsidRPr="008A4AFC">
              <w:rPr>
                <w:rFonts w:ascii="Arial" w:hAnsi="Arial" w:cs="Arial"/>
                <w:b/>
                <w:bCs/>
                <w:sz w:val="22"/>
                <w:szCs w:val="22"/>
                <w:lang w:val="en-US"/>
              </w:rPr>
              <w:t xml:space="preserve">B. </w:t>
            </w:r>
            <w:proofErr w:type="spellStart"/>
            <w:r w:rsidRPr="008A4AFC">
              <w:rPr>
                <w:rFonts w:ascii="Arial" w:hAnsi="Arial" w:cs="Arial"/>
                <w:b/>
                <w:bCs/>
                <w:sz w:val="22"/>
                <w:szCs w:val="22"/>
                <w:lang w:val="en-US"/>
              </w:rPr>
              <w:t>táblázat</w:t>
            </w:r>
            <w:proofErr w:type="spellEnd"/>
          </w:p>
        </w:tc>
        <w:tc>
          <w:tcPr>
            <w:tcW w:w="6326" w:type="dxa"/>
            <w:gridSpan w:val="3"/>
            <w:tcBorders>
              <w:top w:val="nil"/>
              <w:left w:val="nil"/>
              <w:bottom w:val="single" w:sz="8" w:space="0" w:color="auto"/>
              <w:right w:val="single" w:sz="12" w:space="0" w:color="auto"/>
            </w:tcBorders>
            <w:tcMar>
              <w:top w:w="0" w:type="dxa"/>
              <w:left w:w="108" w:type="dxa"/>
              <w:bottom w:w="0" w:type="dxa"/>
              <w:right w:w="108" w:type="dxa"/>
            </w:tcMar>
            <w:hideMark/>
          </w:tcPr>
          <w:p w:rsidR="001C4566" w:rsidRPr="008A4AFC" w:rsidRDefault="001C4566" w:rsidP="00EC637B">
            <w:pPr>
              <w:spacing w:before="200"/>
              <w:jc w:val="both"/>
              <w:rPr>
                <w:rFonts w:ascii="Arial" w:hAnsi="Arial" w:cs="Arial"/>
                <w:sz w:val="22"/>
                <w:szCs w:val="22"/>
                <w:lang w:val="en-US"/>
              </w:rPr>
            </w:pPr>
            <w:proofErr w:type="spellStart"/>
            <w:r w:rsidRPr="008A4AFC">
              <w:rPr>
                <w:rFonts w:ascii="Arial" w:hAnsi="Arial" w:cs="Arial"/>
                <w:sz w:val="22"/>
                <w:szCs w:val="22"/>
                <w:lang w:val="en-US"/>
              </w:rPr>
              <w:t>Átvevő</w:t>
            </w:r>
            <w:proofErr w:type="spellEnd"/>
          </w:p>
        </w:tc>
      </w:tr>
      <w:tr w:rsidR="001C4566" w:rsidRPr="008A4AFC" w:rsidTr="00270675">
        <w:trPr>
          <w:trHeight w:val="166"/>
        </w:trPr>
        <w:tc>
          <w:tcPr>
            <w:tcW w:w="0" w:type="auto"/>
            <w:gridSpan w:val="2"/>
            <w:vMerge/>
            <w:tcBorders>
              <w:top w:val="nil"/>
              <w:left w:val="single" w:sz="12" w:space="0" w:color="auto"/>
              <w:bottom w:val="single" w:sz="12" w:space="0" w:color="auto"/>
              <w:right w:val="single" w:sz="12" w:space="0" w:color="auto"/>
            </w:tcBorders>
            <w:vAlign w:val="center"/>
            <w:hideMark/>
          </w:tcPr>
          <w:p w:rsidR="001C4566" w:rsidRPr="008A4AFC" w:rsidRDefault="001C4566" w:rsidP="00270675">
            <w:pPr>
              <w:jc w:val="center"/>
              <w:rPr>
                <w:rFonts w:ascii="Arial" w:eastAsia="Calibri" w:hAnsi="Arial" w:cs="Arial"/>
                <w:b/>
                <w:bCs/>
                <w:sz w:val="22"/>
                <w:szCs w:val="22"/>
                <w:lang w:val="en-US"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70675">
            <w:pPr>
              <w:spacing w:before="200"/>
              <w:jc w:val="center"/>
              <w:rPr>
                <w:rFonts w:ascii="Arial" w:hAnsi="Arial" w:cs="Arial"/>
                <w:sz w:val="22"/>
                <w:szCs w:val="22"/>
                <w:lang w:val="en-US"/>
              </w:rPr>
            </w:pPr>
            <w:r w:rsidRPr="008A4AFC">
              <w:rPr>
                <w:rFonts w:ascii="Arial" w:hAnsi="Arial" w:cs="Arial"/>
                <w:sz w:val="22"/>
                <w:szCs w:val="22"/>
                <w:lang w:val="en-US"/>
              </w:rPr>
              <w:t xml:space="preserve">I. </w:t>
            </w:r>
            <w:proofErr w:type="spellStart"/>
            <w:r w:rsidRPr="008A4AFC">
              <w:rPr>
                <w:rFonts w:ascii="Arial" w:hAnsi="Arial" w:cs="Arial"/>
                <w:sz w:val="22"/>
                <w:szCs w:val="22"/>
                <w:lang w:val="en-US"/>
              </w:rPr>
              <w:t>osztályú</w:t>
            </w:r>
            <w:proofErr w:type="spellEnd"/>
            <w:r w:rsidRPr="008A4AFC">
              <w:rPr>
                <w:rFonts w:ascii="Arial" w:hAnsi="Arial" w:cs="Arial"/>
                <w:sz w:val="22"/>
                <w:szCs w:val="22"/>
                <w:lang w:val="en-US"/>
              </w:rPr>
              <w:t xml:space="preserve"> </w:t>
            </w:r>
            <w:proofErr w:type="spellStart"/>
            <w:r w:rsidRPr="008A4AFC">
              <w:rPr>
                <w:rFonts w:ascii="Arial" w:hAnsi="Arial" w:cs="Arial"/>
                <w:sz w:val="22"/>
                <w:szCs w:val="22"/>
                <w:lang w:val="en-US"/>
              </w:rPr>
              <w:t>sportszervezetek</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70675">
            <w:pPr>
              <w:spacing w:before="200"/>
              <w:jc w:val="center"/>
              <w:rPr>
                <w:rFonts w:ascii="Arial" w:hAnsi="Arial" w:cs="Arial"/>
                <w:sz w:val="22"/>
                <w:szCs w:val="22"/>
                <w:lang w:val="en-US"/>
              </w:rPr>
            </w:pPr>
            <w:r w:rsidRPr="008A4AFC">
              <w:rPr>
                <w:rFonts w:ascii="Arial" w:hAnsi="Arial" w:cs="Arial"/>
                <w:sz w:val="22"/>
                <w:szCs w:val="22"/>
                <w:lang w:val="en-US"/>
              </w:rPr>
              <w:t xml:space="preserve">II. </w:t>
            </w:r>
            <w:proofErr w:type="spellStart"/>
            <w:r w:rsidRPr="008A4AFC">
              <w:rPr>
                <w:rFonts w:ascii="Arial" w:hAnsi="Arial" w:cs="Arial"/>
                <w:sz w:val="22"/>
                <w:szCs w:val="22"/>
                <w:lang w:val="en-US"/>
              </w:rPr>
              <w:t>osztályú</w:t>
            </w:r>
            <w:proofErr w:type="spellEnd"/>
            <w:r w:rsidRPr="008A4AFC">
              <w:rPr>
                <w:rFonts w:ascii="Arial" w:hAnsi="Arial" w:cs="Arial"/>
                <w:sz w:val="22"/>
                <w:szCs w:val="22"/>
                <w:lang w:val="en-US"/>
              </w:rPr>
              <w:t xml:space="preserve"> </w:t>
            </w:r>
            <w:proofErr w:type="spellStart"/>
            <w:r w:rsidRPr="008A4AFC">
              <w:rPr>
                <w:rFonts w:ascii="Arial" w:hAnsi="Arial" w:cs="Arial"/>
                <w:sz w:val="22"/>
                <w:szCs w:val="22"/>
                <w:lang w:val="en-US"/>
              </w:rPr>
              <w:t>sportszervezetek</w:t>
            </w:r>
            <w:proofErr w:type="spellEnd"/>
          </w:p>
        </w:tc>
        <w:tc>
          <w:tcPr>
            <w:tcW w:w="2568" w:type="dxa"/>
            <w:tcBorders>
              <w:top w:val="nil"/>
              <w:left w:val="nil"/>
              <w:bottom w:val="single" w:sz="8" w:space="0" w:color="auto"/>
              <w:right w:val="single" w:sz="12" w:space="0" w:color="auto"/>
            </w:tcBorders>
            <w:tcMar>
              <w:top w:w="0" w:type="dxa"/>
              <w:left w:w="108" w:type="dxa"/>
              <w:bottom w:w="0" w:type="dxa"/>
              <w:right w:w="108" w:type="dxa"/>
            </w:tcMar>
            <w:hideMark/>
          </w:tcPr>
          <w:p w:rsidR="001C4566" w:rsidRPr="00771B52" w:rsidRDefault="001C4566" w:rsidP="00270675">
            <w:pPr>
              <w:spacing w:before="200"/>
              <w:jc w:val="center"/>
              <w:rPr>
                <w:rFonts w:ascii="Arial" w:hAnsi="Arial" w:cs="Arial"/>
                <w:b/>
                <w:sz w:val="22"/>
                <w:szCs w:val="22"/>
                <w:lang w:val="en-US"/>
              </w:rPr>
            </w:pPr>
            <w:r w:rsidRPr="00771B52">
              <w:rPr>
                <w:rFonts w:ascii="Arial" w:hAnsi="Arial" w:cs="Arial"/>
                <w:b/>
                <w:sz w:val="22"/>
                <w:szCs w:val="22"/>
                <w:lang w:val="en-US"/>
              </w:rPr>
              <w:t>EGYÉB</w:t>
            </w:r>
          </w:p>
        </w:tc>
      </w:tr>
      <w:tr w:rsidR="001C4566" w:rsidRPr="008A4AFC" w:rsidTr="00270675">
        <w:trPr>
          <w:trHeight w:val="267"/>
        </w:trPr>
        <w:tc>
          <w:tcPr>
            <w:tcW w:w="975"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1C4566" w:rsidRPr="008A4AFC" w:rsidRDefault="001C4566" w:rsidP="00EC637B">
            <w:pPr>
              <w:spacing w:before="200"/>
              <w:jc w:val="both"/>
              <w:rPr>
                <w:rFonts w:ascii="Arial" w:hAnsi="Arial" w:cs="Arial"/>
                <w:sz w:val="22"/>
                <w:szCs w:val="22"/>
                <w:lang w:val="en-US"/>
              </w:rPr>
            </w:pPr>
            <w:r w:rsidRPr="008A4AFC">
              <w:rPr>
                <w:rFonts w:ascii="Arial" w:hAnsi="Arial" w:cs="Arial"/>
                <w:sz w:val="22"/>
                <w:szCs w:val="22"/>
                <w:lang w:val="en-US"/>
              </w:rPr>
              <w:br/>
            </w:r>
            <w:r w:rsidRPr="008A4AFC">
              <w:rPr>
                <w:rFonts w:ascii="Arial" w:hAnsi="Arial" w:cs="Arial"/>
                <w:sz w:val="22"/>
                <w:szCs w:val="22"/>
                <w:lang w:val="en-US"/>
              </w:rPr>
              <w:br/>
              <w:t xml:space="preserve">   </w:t>
            </w:r>
            <w:proofErr w:type="spellStart"/>
            <w:r w:rsidRPr="008A4AFC">
              <w:rPr>
                <w:rFonts w:ascii="Arial" w:hAnsi="Arial" w:cs="Arial"/>
                <w:sz w:val="22"/>
                <w:szCs w:val="22"/>
                <w:lang w:val="en-US"/>
              </w:rPr>
              <w:t>Átadó</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70675">
            <w:pPr>
              <w:spacing w:before="200"/>
              <w:jc w:val="center"/>
              <w:rPr>
                <w:rFonts w:ascii="Arial" w:hAnsi="Arial" w:cs="Arial"/>
                <w:sz w:val="22"/>
                <w:szCs w:val="22"/>
                <w:lang w:val="en-US"/>
              </w:rPr>
            </w:pPr>
            <w:r w:rsidRPr="008A4AFC">
              <w:rPr>
                <w:rFonts w:ascii="Arial" w:hAnsi="Arial" w:cs="Arial"/>
                <w:sz w:val="22"/>
                <w:szCs w:val="22"/>
                <w:lang w:val="en-US"/>
              </w:rPr>
              <w:t xml:space="preserve">I. </w:t>
            </w:r>
            <w:proofErr w:type="spellStart"/>
            <w:r w:rsidRPr="008A4AFC">
              <w:rPr>
                <w:rFonts w:ascii="Arial" w:hAnsi="Arial" w:cs="Arial"/>
                <w:sz w:val="22"/>
                <w:szCs w:val="22"/>
                <w:lang w:val="en-US"/>
              </w:rPr>
              <w:t>osztályú</w:t>
            </w:r>
            <w:proofErr w:type="spellEnd"/>
            <w:r w:rsidRPr="008A4AFC">
              <w:rPr>
                <w:rFonts w:ascii="Arial" w:hAnsi="Arial" w:cs="Arial"/>
                <w:sz w:val="22"/>
                <w:szCs w:val="22"/>
                <w:lang w:val="en-US"/>
              </w:rPr>
              <w:t xml:space="preserve"> </w:t>
            </w:r>
            <w:proofErr w:type="spellStart"/>
            <w:r w:rsidRPr="008A4AFC">
              <w:rPr>
                <w:rFonts w:ascii="Arial" w:hAnsi="Arial" w:cs="Arial"/>
                <w:sz w:val="22"/>
                <w:szCs w:val="22"/>
                <w:lang w:val="en-US"/>
              </w:rPr>
              <w:t>sportszervezetek</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C32A7">
            <w:pPr>
              <w:spacing w:before="200"/>
              <w:jc w:val="center"/>
              <w:rPr>
                <w:rFonts w:ascii="Arial" w:hAnsi="Arial" w:cs="Arial"/>
                <w:sz w:val="22"/>
                <w:szCs w:val="22"/>
                <w:lang w:val="en-US"/>
              </w:rPr>
            </w:pPr>
            <w:r w:rsidRPr="008A4AFC">
              <w:rPr>
                <w:rFonts w:ascii="Arial" w:hAnsi="Arial" w:cs="Arial"/>
                <w:sz w:val="22"/>
                <w:szCs w:val="22"/>
                <w:lang w:val="en-US"/>
              </w:rPr>
              <w:t>3.000.000Ft/</w:t>
            </w:r>
            <w:proofErr w:type="spellStart"/>
            <w:r w:rsidRPr="008A4AFC">
              <w:rPr>
                <w:rFonts w:ascii="Arial" w:hAnsi="Arial" w:cs="Arial"/>
                <w:sz w:val="22"/>
                <w:szCs w:val="22"/>
                <w:lang w:val="en-US"/>
              </w:rPr>
              <w:t>év</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C32A7">
            <w:pPr>
              <w:spacing w:before="200"/>
              <w:jc w:val="center"/>
              <w:rPr>
                <w:rFonts w:ascii="Arial" w:hAnsi="Arial" w:cs="Arial"/>
                <w:sz w:val="22"/>
                <w:szCs w:val="22"/>
                <w:lang w:val="en-US"/>
              </w:rPr>
            </w:pPr>
            <w:r w:rsidRPr="008A4AFC">
              <w:rPr>
                <w:rFonts w:ascii="Arial" w:hAnsi="Arial" w:cs="Arial"/>
                <w:sz w:val="22"/>
                <w:szCs w:val="22"/>
                <w:lang w:val="en-US"/>
              </w:rPr>
              <w:t>400.000 Ft/</w:t>
            </w:r>
            <w:proofErr w:type="spellStart"/>
            <w:r w:rsidRPr="008A4AFC">
              <w:rPr>
                <w:rFonts w:ascii="Arial" w:hAnsi="Arial" w:cs="Arial"/>
                <w:sz w:val="22"/>
                <w:szCs w:val="22"/>
                <w:lang w:val="en-US"/>
              </w:rPr>
              <w:t>év</w:t>
            </w:r>
            <w:proofErr w:type="spellEnd"/>
          </w:p>
        </w:tc>
        <w:tc>
          <w:tcPr>
            <w:tcW w:w="2568" w:type="dxa"/>
            <w:tcBorders>
              <w:top w:val="nil"/>
              <w:left w:val="nil"/>
              <w:bottom w:val="single" w:sz="8" w:space="0" w:color="auto"/>
              <w:right w:val="single" w:sz="12" w:space="0" w:color="auto"/>
            </w:tcBorders>
            <w:tcMar>
              <w:top w:w="0" w:type="dxa"/>
              <w:left w:w="108" w:type="dxa"/>
              <w:bottom w:w="0" w:type="dxa"/>
              <w:right w:w="108" w:type="dxa"/>
            </w:tcMar>
            <w:hideMark/>
          </w:tcPr>
          <w:p w:rsidR="001C4566" w:rsidRPr="00771B52" w:rsidRDefault="001C4566" w:rsidP="002C32A7">
            <w:pPr>
              <w:spacing w:before="200"/>
              <w:jc w:val="center"/>
              <w:rPr>
                <w:rFonts w:ascii="Arial" w:hAnsi="Arial" w:cs="Arial"/>
                <w:b/>
                <w:sz w:val="22"/>
                <w:szCs w:val="22"/>
                <w:lang w:val="en-US"/>
              </w:rPr>
            </w:pPr>
            <w:r w:rsidRPr="00771B52">
              <w:rPr>
                <w:rFonts w:ascii="Arial" w:hAnsi="Arial" w:cs="Arial"/>
                <w:b/>
                <w:sz w:val="22"/>
                <w:szCs w:val="22"/>
                <w:lang w:val="en-US"/>
              </w:rPr>
              <w:t>0</w:t>
            </w:r>
          </w:p>
        </w:tc>
      </w:tr>
      <w:tr w:rsidR="001C4566" w:rsidRPr="008A4AFC" w:rsidTr="00270675">
        <w:trPr>
          <w:trHeight w:val="240"/>
        </w:trPr>
        <w:tc>
          <w:tcPr>
            <w:tcW w:w="0" w:type="auto"/>
            <w:vMerge/>
            <w:tcBorders>
              <w:top w:val="nil"/>
              <w:left w:val="single" w:sz="12" w:space="0" w:color="auto"/>
              <w:bottom w:val="single" w:sz="12" w:space="0" w:color="auto"/>
              <w:right w:val="single" w:sz="8" w:space="0" w:color="auto"/>
            </w:tcBorders>
            <w:vAlign w:val="center"/>
            <w:hideMark/>
          </w:tcPr>
          <w:p w:rsidR="001C4566" w:rsidRPr="008A4AFC" w:rsidRDefault="001C4566" w:rsidP="00EC637B">
            <w:pPr>
              <w:jc w:val="both"/>
              <w:rPr>
                <w:rFonts w:ascii="Arial" w:eastAsia="Calibri" w:hAnsi="Arial" w:cs="Arial"/>
                <w:sz w:val="22"/>
                <w:szCs w:val="22"/>
                <w:lang w:val="en-US"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70675">
            <w:pPr>
              <w:spacing w:before="200"/>
              <w:jc w:val="center"/>
              <w:rPr>
                <w:rFonts w:ascii="Arial" w:hAnsi="Arial" w:cs="Arial"/>
                <w:sz w:val="22"/>
                <w:szCs w:val="22"/>
                <w:lang w:val="en-US"/>
              </w:rPr>
            </w:pPr>
            <w:r w:rsidRPr="008A4AFC">
              <w:rPr>
                <w:rFonts w:ascii="Arial" w:hAnsi="Arial" w:cs="Arial"/>
                <w:sz w:val="22"/>
                <w:szCs w:val="22"/>
                <w:lang w:val="en-US"/>
              </w:rPr>
              <w:t xml:space="preserve">II. </w:t>
            </w:r>
            <w:proofErr w:type="spellStart"/>
            <w:r w:rsidRPr="008A4AFC">
              <w:rPr>
                <w:rFonts w:ascii="Arial" w:hAnsi="Arial" w:cs="Arial"/>
                <w:sz w:val="22"/>
                <w:szCs w:val="22"/>
                <w:lang w:val="en-US"/>
              </w:rPr>
              <w:t>osztályú</w:t>
            </w:r>
            <w:proofErr w:type="spellEnd"/>
            <w:r w:rsidRPr="008A4AFC">
              <w:rPr>
                <w:rFonts w:ascii="Arial" w:hAnsi="Arial" w:cs="Arial"/>
                <w:sz w:val="22"/>
                <w:szCs w:val="22"/>
                <w:lang w:val="en-US"/>
              </w:rPr>
              <w:t xml:space="preserve"> </w:t>
            </w:r>
            <w:proofErr w:type="spellStart"/>
            <w:r w:rsidRPr="008A4AFC">
              <w:rPr>
                <w:rFonts w:ascii="Arial" w:hAnsi="Arial" w:cs="Arial"/>
                <w:sz w:val="22"/>
                <w:szCs w:val="22"/>
                <w:lang w:val="en-US"/>
              </w:rPr>
              <w:t>sportszervezetek</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C32A7">
            <w:pPr>
              <w:spacing w:before="200"/>
              <w:jc w:val="center"/>
              <w:rPr>
                <w:rFonts w:ascii="Arial" w:hAnsi="Arial" w:cs="Arial"/>
                <w:sz w:val="22"/>
                <w:szCs w:val="22"/>
                <w:lang w:val="en-US"/>
              </w:rPr>
            </w:pPr>
            <w:r w:rsidRPr="008A4AFC">
              <w:rPr>
                <w:rFonts w:ascii="Arial" w:hAnsi="Arial" w:cs="Arial"/>
                <w:sz w:val="22"/>
                <w:szCs w:val="22"/>
                <w:lang w:val="en-US"/>
              </w:rPr>
              <w:t>500.000 Ft/</w:t>
            </w:r>
            <w:proofErr w:type="spellStart"/>
            <w:r w:rsidRPr="008A4AFC">
              <w:rPr>
                <w:rFonts w:ascii="Arial" w:hAnsi="Arial" w:cs="Arial"/>
                <w:sz w:val="22"/>
                <w:szCs w:val="22"/>
                <w:lang w:val="en-US"/>
              </w:rPr>
              <w:t>év</w:t>
            </w:r>
            <w:proofErr w:type="spellEnd"/>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1C4566" w:rsidRPr="008A4AFC" w:rsidRDefault="001C4566" w:rsidP="002C32A7">
            <w:pPr>
              <w:spacing w:before="200"/>
              <w:jc w:val="center"/>
              <w:rPr>
                <w:rFonts w:ascii="Arial" w:hAnsi="Arial" w:cs="Arial"/>
                <w:sz w:val="22"/>
                <w:szCs w:val="22"/>
                <w:lang w:val="en-US"/>
              </w:rPr>
            </w:pPr>
            <w:r w:rsidRPr="008A4AFC">
              <w:rPr>
                <w:rFonts w:ascii="Arial" w:hAnsi="Arial" w:cs="Arial"/>
                <w:sz w:val="22"/>
                <w:szCs w:val="22"/>
                <w:lang w:val="en-US"/>
              </w:rPr>
              <w:t>300.000  Ft/</w:t>
            </w:r>
            <w:proofErr w:type="spellStart"/>
            <w:r w:rsidRPr="008A4AFC">
              <w:rPr>
                <w:rFonts w:ascii="Arial" w:hAnsi="Arial" w:cs="Arial"/>
                <w:sz w:val="22"/>
                <w:szCs w:val="22"/>
                <w:lang w:val="en-US"/>
              </w:rPr>
              <w:t>év</w:t>
            </w:r>
            <w:proofErr w:type="spellEnd"/>
          </w:p>
        </w:tc>
        <w:tc>
          <w:tcPr>
            <w:tcW w:w="2568" w:type="dxa"/>
            <w:tcBorders>
              <w:top w:val="nil"/>
              <w:left w:val="nil"/>
              <w:bottom w:val="single" w:sz="8" w:space="0" w:color="auto"/>
              <w:right w:val="single" w:sz="12" w:space="0" w:color="auto"/>
            </w:tcBorders>
            <w:tcMar>
              <w:top w:w="0" w:type="dxa"/>
              <w:left w:w="108" w:type="dxa"/>
              <w:bottom w:w="0" w:type="dxa"/>
              <w:right w:w="108" w:type="dxa"/>
            </w:tcMar>
            <w:hideMark/>
          </w:tcPr>
          <w:p w:rsidR="001C4566" w:rsidRPr="00771B52" w:rsidRDefault="001C4566" w:rsidP="002C32A7">
            <w:pPr>
              <w:spacing w:before="200"/>
              <w:jc w:val="center"/>
              <w:rPr>
                <w:rFonts w:ascii="Arial" w:hAnsi="Arial" w:cs="Arial"/>
                <w:b/>
                <w:sz w:val="22"/>
                <w:szCs w:val="22"/>
                <w:lang w:val="en-US"/>
              </w:rPr>
            </w:pPr>
            <w:r w:rsidRPr="00771B52">
              <w:rPr>
                <w:rFonts w:ascii="Arial" w:hAnsi="Arial" w:cs="Arial"/>
                <w:b/>
                <w:sz w:val="22"/>
                <w:szCs w:val="22"/>
                <w:lang w:val="en-US"/>
              </w:rPr>
              <w:t>0</w:t>
            </w:r>
          </w:p>
        </w:tc>
      </w:tr>
      <w:tr w:rsidR="001C4566" w:rsidRPr="00771B52" w:rsidTr="00270675">
        <w:trPr>
          <w:trHeight w:val="74"/>
        </w:trPr>
        <w:tc>
          <w:tcPr>
            <w:tcW w:w="0" w:type="auto"/>
            <w:vMerge/>
            <w:tcBorders>
              <w:top w:val="nil"/>
              <w:left w:val="single" w:sz="12" w:space="0" w:color="auto"/>
              <w:bottom w:val="single" w:sz="12" w:space="0" w:color="auto"/>
              <w:right w:val="single" w:sz="8" w:space="0" w:color="auto"/>
            </w:tcBorders>
            <w:vAlign w:val="center"/>
            <w:hideMark/>
          </w:tcPr>
          <w:p w:rsidR="001C4566" w:rsidRPr="00771B52" w:rsidRDefault="001C4566" w:rsidP="00EC637B">
            <w:pPr>
              <w:jc w:val="both"/>
              <w:rPr>
                <w:rFonts w:ascii="Arial" w:eastAsia="Calibri" w:hAnsi="Arial" w:cs="Arial"/>
                <w:b/>
                <w:sz w:val="22"/>
                <w:szCs w:val="22"/>
                <w:lang w:val="en-US" w:eastAsia="en-US"/>
              </w:rPr>
            </w:pPr>
          </w:p>
        </w:tc>
        <w:tc>
          <w:tcPr>
            <w:tcW w:w="1879" w:type="dxa"/>
            <w:tcBorders>
              <w:top w:val="nil"/>
              <w:left w:val="nil"/>
              <w:bottom w:val="single" w:sz="12" w:space="0" w:color="auto"/>
              <w:right w:val="single" w:sz="8" w:space="0" w:color="auto"/>
            </w:tcBorders>
            <w:tcMar>
              <w:top w:w="0" w:type="dxa"/>
              <w:left w:w="108" w:type="dxa"/>
              <w:bottom w:w="0" w:type="dxa"/>
              <w:right w:w="108" w:type="dxa"/>
            </w:tcMar>
            <w:hideMark/>
          </w:tcPr>
          <w:p w:rsidR="001C4566" w:rsidRPr="00771B52" w:rsidRDefault="001C4566" w:rsidP="00270675">
            <w:pPr>
              <w:spacing w:before="200"/>
              <w:jc w:val="center"/>
              <w:rPr>
                <w:rFonts w:ascii="Arial" w:hAnsi="Arial" w:cs="Arial"/>
                <w:b/>
                <w:sz w:val="22"/>
                <w:szCs w:val="22"/>
                <w:lang w:val="en-US"/>
              </w:rPr>
            </w:pPr>
            <w:r w:rsidRPr="00771B52">
              <w:rPr>
                <w:rFonts w:ascii="Arial" w:hAnsi="Arial" w:cs="Arial"/>
                <w:b/>
                <w:sz w:val="22"/>
                <w:szCs w:val="22"/>
                <w:lang w:val="en-US"/>
              </w:rPr>
              <w:t>EGYÉB</w:t>
            </w:r>
          </w:p>
        </w:tc>
        <w:tc>
          <w:tcPr>
            <w:tcW w:w="1879" w:type="dxa"/>
            <w:tcBorders>
              <w:top w:val="nil"/>
              <w:left w:val="nil"/>
              <w:bottom w:val="single" w:sz="12" w:space="0" w:color="auto"/>
              <w:right w:val="single" w:sz="8" w:space="0" w:color="auto"/>
            </w:tcBorders>
            <w:tcMar>
              <w:top w:w="0" w:type="dxa"/>
              <w:left w:w="108" w:type="dxa"/>
              <w:bottom w:w="0" w:type="dxa"/>
              <w:right w:w="108" w:type="dxa"/>
            </w:tcMar>
            <w:hideMark/>
          </w:tcPr>
          <w:p w:rsidR="001C4566" w:rsidRPr="00771B52" w:rsidRDefault="001C4566" w:rsidP="002C32A7">
            <w:pPr>
              <w:spacing w:before="200"/>
              <w:jc w:val="center"/>
              <w:rPr>
                <w:rFonts w:ascii="Arial" w:hAnsi="Arial" w:cs="Arial"/>
                <w:b/>
                <w:sz w:val="22"/>
                <w:szCs w:val="22"/>
                <w:lang w:val="en-US"/>
              </w:rPr>
            </w:pPr>
            <w:r w:rsidRPr="00771B52">
              <w:rPr>
                <w:rFonts w:ascii="Arial" w:hAnsi="Arial" w:cs="Arial"/>
                <w:b/>
                <w:sz w:val="22"/>
                <w:szCs w:val="22"/>
                <w:lang w:val="en-US"/>
              </w:rPr>
              <w:t>200.000  Ft/</w:t>
            </w:r>
            <w:proofErr w:type="spellStart"/>
            <w:r w:rsidRPr="00771B52">
              <w:rPr>
                <w:rFonts w:ascii="Arial" w:hAnsi="Arial" w:cs="Arial"/>
                <w:b/>
                <w:sz w:val="22"/>
                <w:szCs w:val="22"/>
                <w:lang w:val="en-US"/>
              </w:rPr>
              <w:t>év</w:t>
            </w:r>
            <w:proofErr w:type="spellEnd"/>
          </w:p>
        </w:tc>
        <w:tc>
          <w:tcPr>
            <w:tcW w:w="1879" w:type="dxa"/>
            <w:tcBorders>
              <w:top w:val="nil"/>
              <w:left w:val="nil"/>
              <w:bottom w:val="single" w:sz="12" w:space="0" w:color="auto"/>
              <w:right w:val="single" w:sz="8" w:space="0" w:color="auto"/>
            </w:tcBorders>
            <w:tcMar>
              <w:top w:w="0" w:type="dxa"/>
              <w:left w:w="108" w:type="dxa"/>
              <w:bottom w:w="0" w:type="dxa"/>
              <w:right w:w="108" w:type="dxa"/>
            </w:tcMar>
            <w:hideMark/>
          </w:tcPr>
          <w:p w:rsidR="001C4566" w:rsidRPr="00771B52" w:rsidRDefault="001C4566" w:rsidP="002C32A7">
            <w:pPr>
              <w:spacing w:before="200"/>
              <w:jc w:val="center"/>
              <w:rPr>
                <w:rFonts w:ascii="Arial" w:hAnsi="Arial" w:cs="Arial"/>
                <w:b/>
                <w:sz w:val="22"/>
                <w:szCs w:val="22"/>
                <w:lang w:val="en-US"/>
              </w:rPr>
            </w:pPr>
            <w:r w:rsidRPr="00771B52">
              <w:rPr>
                <w:rFonts w:ascii="Arial" w:hAnsi="Arial" w:cs="Arial"/>
                <w:b/>
                <w:sz w:val="22"/>
                <w:szCs w:val="22"/>
                <w:lang w:val="en-US"/>
              </w:rPr>
              <w:t>150.000  Ft/</w:t>
            </w:r>
            <w:proofErr w:type="spellStart"/>
            <w:r w:rsidRPr="00771B52">
              <w:rPr>
                <w:rFonts w:ascii="Arial" w:hAnsi="Arial" w:cs="Arial"/>
                <w:b/>
                <w:sz w:val="22"/>
                <w:szCs w:val="22"/>
                <w:lang w:val="en-US"/>
              </w:rPr>
              <w:t>év</w:t>
            </w:r>
            <w:proofErr w:type="spellEnd"/>
          </w:p>
        </w:tc>
        <w:tc>
          <w:tcPr>
            <w:tcW w:w="2568" w:type="dxa"/>
            <w:tcBorders>
              <w:top w:val="nil"/>
              <w:left w:val="nil"/>
              <w:bottom w:val="single" w:sz="12" w:space="0" w:color="auto"/>
              <w:right w:val="single" w:sz="12" w:space="0" w:color="auto"/>
            </w:tcBorders>
            <w:tcMar>
              <w:top w:w="0" w:type="dxa"/>
              <w:left w:w="108" w:type="dxa"/>
              <w:bottom w:w="0" w:type="dxa"/>
              <w:right w:w="108" w:type="dxa"/>
            </w:tcMar>
            <w:hideMark/>
          </w:tcPr>
          <w:p w:rsidR="001C4566" w:rsidRPr="00771B52" w:rsidRDefault="001C4566" w:rsidP="002C32A7">
            <w:pPr>
              <w:spacing w:before="200"/>
              <w:jc w:val="center"/>
              <w:rPr>
                <w:rFonts w:ascii="Arial" w:hAnsi="Arial" w:cs="Arial"/>
                <w:b/>
                <w:sz w:val="22"/>
                <w:szCs w:val="22"/>
                <w:lang w:val="en-US"/>
              </w:rPr>
            </w:pPr>
            <w:r w:rsidRPr="00771B52">
              <w:rPr>
                <w:rFonts w:ascii="Arial" w:hAnsi="Arial" w:cs="Arial"/>
                <w:b/>
                <w:sz w:val="22"/>
                <w:szCs w:val="22"/>
                <w:lang w:val="en-US"/>
              </w:rPr>
              <w:t>100.000  Ft/</w:t>
            </w:r>
            <w:proofErr w:type="spellStart"/>
            <w:r w:rsidRPr="00771B52">
              <w:rPr>
                <w:rFonts w:ascii="Arial" w:hAnsi="Arial" w:cs="Arial"/>
                <w:b/>
                <w:sz w:val="22"/>
                <w:szCs w:val="22"/>
                <w:lang w:val="en-US"/>
              </w:rPr>
              <w:t>év</w:t>
            </w:r>
            <w:proofErr w:type="spellEnd"/>
          </w:p>
        </w:tc>
      </w:tr>
    </w:tbl>
    <w:p w:rsidR="00F3047D" w:rsidRPr="008A4AFC" w:rsidRDefault="00F3047D" w:rsidP="00EC637B">
      <w:pPr>
        <w:jc w:val="both"/>
        <w:rPr>
          <w:rFonts w:ascii="Arial" w:hAnsi="Arial" w:cs="Arial"/>
          <w:sz w:val="22"/>
          <w:szCs w:val="22"/>
        </w:rPr>
      </w:pP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b/>
          <w:bCs/>
          <w:color w:val="333333"/>
          <w:sz w:val="21"/>
          <w:szCs w:val="21"/>
        </w:rPr>
        <w:t>– A táblázatban minden sportszervezet az U19-es csapatának osztálya, besorolása alapján fizet,</w:t>
      </w:r>
      <w:r w:rsidRPr="002C32A7">
        <w:rPr>
          <w:rFonts w:ascii="Arial" w:hAnsi="Arial" w:cs="Arial"/>
          <w:color w:val="333333"/>
          <w:sz w:val="21"/>
          <w:szCs w:val="21"/>
        </w:rPr>
        <w:t xml:space="preserve"> </w:t>
      </w:r>
      <w:r w:rsidRPr="002C32A7">
        <w:rPr>
          <w:rFonts w:ascii="Arial" w:hAnsi="Arial" w:cs="Arial"/>
          <w:b/>
          <w:bCs/>
          <w:color w:val="333333"/>
          <w:sz w:val="21"/>
          <w:szCs w:val="21"/>
        </w:rPr>
        <w:t>illetve kérhet működési költségtérítést.</w:t>
      </w: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b/>
          <w:bCs/>
          <w:color w:val="333333"/>
          <w:sz w:val="21"/>
          <w:szCs w:val="21"/>
        </w:rPr>
        <w:t>– I. osztályú</w:t>
      </w:r>
      <w:r w:rsidRPr="002C32A7">
        <w:rPr>
          <w:rFonts w:ascii="Arial" w:hAnsi="Arial" w:cs="Arial"/>
          <w:color w:val="333333"/>
          <w:sz w:val="21"/>
          <w:szCs w:val="21"/>
        </w:rPr>
        <w:t xml:space="preserve"> = </w:t>
      </w:r>
      <w:r w:rsidRPr="002C32A7">
        <w:rPr>
          <w:rFonts w:ascii="Arial" w:hAnsi="Arial" w:cs="Arial"/>
          <w:color w:val="333333"/>
          <w:sz w:val="21"/>
          <w:szCs w:val="21"/>
          <w:u w:val="single"/>
        </w:rPr>
        <w:t>kiemelt országos</w:t>
      </w:r>
      <w:r w:rsidRPr="002C32A7">
        <w:rPr>
          <w:rFonts w:ascii="Arial" w:hAnsi="Arial" w:cs="Arial"/>
          <w:color w:val="333333"/>
          <w:sz w:val="21"/>
          <w:szCs w:val="21"/>
        </w:rPr>
        <w:t xml:space="preserve"> U19 I. osztályban szereplő csapat sportszervezete</w:t>
      </w:r>
      <w:r>
        <w:rPr>
          <w:rFonts w:ascii="Arial" w:hAnsi="Arial" w:cs="Arial"/>
          <w:color w:val="333333"/>
          <w:sz w:val="21"/>
          <w:szCs w:val="21"/>
        </w:rPr>
        <w:t xml:space="preserve"> (megyénkben csak az ETO)</w:t>
      </w:r>
      <w:r w:rsidRPr="002C32A7">
        <w:rPr>
          <w:rFonts w:ascii="Arial" w:hAnsi="Arial" w:cs="Arial"/>
          <w:color w:val="333333"/>
          <w:sz w:val="21"/>
          <w:szCs w:val="21"/>
        </w:rPr>
        <w:t xml:space="preserve">; </w:t>
      </w:r>
      <w:r w:rsidRPr="002C32A7">
        <w:rPr>
          <w:rFonts w:ascii="Arial" w:hAnsi="Arial" w:cs="Arial"/>
          <w:b/>
          <w:bCs/>
          <w:color w:val="333333"/>
          <w:sz w:val="21"/>
          <w:szCs w:val="21"/>
        </w:rPr>
        <w:t>II. osztályú</w:t>
      </w:r>
      <w:r w:rsidRPr="002C32A7">
        <w:rPr>
          <w:rFonts w:ascii="Arial" w:hAnsi="Arial" w:cs="Arial"/>
          <w:color w:val="333333"/>
          <w:sz w:val="21"/>
          <w:szCs w:val="21"/>
        </w:rPr>
        <w:t xml:space="preserve"> = </w:t>
      </w:r>
      <w:r w:rsidRPr="002C32A7">
        <w:rPr>
          <w:rFonts w:ascii="Arial" w:hAnsi="Arial" w:cs="Arial"/>
          <w:color w:val="333333"/>
          <w:sz w:val="21"/>
          <w:szCs w:val="21"/>
          <w:u w:val="single"/>
        </w:rPr>
        <w:t>kiemelt országos</w:t>
      </w:r>
      <w:r w:rsidRPr="002C32A7">
        <w:rPr>
          <w:rFonts w:ascii="Arial" w:hAnsi="Arial" w:cs="Arial"/>
          <w:color w:val="333333"/>
          <w:sz w:val="21"/>
          <w:szCs w:val="21"/>
        </w:rPr>
        <w:t xml:space="preserve"> U19 II. osztályban szereplő csapat sportszervezete</w:t>
      </w:r>
      <w:r>
        <w:rPr>
          <w:rFonts w:ascii="Arial" w:hAnsi="Arial" w:cs="Arial"/>
          <w:color w:val="333333"/>
          <w:sz w:val="21"/>
          <w:szCs w:val="21"/>
        </w:rPr>
        <w:t xml:space="preserve"> (Megyénkben a Gyirmót SE és az SC Sopron)</w:t>
      </w:r>
      <w:r w:rsidRPr="002C32A7">
        <w:rPr>
          <w:rFonts w:ascii="Arial" w:hAnsi="Arial" w:cs="Arial"/>
          <w:color w:val="333333"/>
          <w:sz w:val="21"/>
          <w:szCs w:val="21"/>
        </w:rPr>
        <w:t xml:space="preserve">; </w:t>
      </w:r>
      <w:r w:rsidRPr="002C32A7">
        <w:rPr>
          <w:rFonts w:ascii="Arial" w:hAnsi="Arial" w:cs="Arial"/>
          <w:b/>
          <w:bCs/>
          <w:color w:val="333333"/>
          <w:sz w:val="21"/>
          <w:szCs w:val="21"/>
        </w:rPr>
        <w:t>EGYÉB</w:t>
      </w:r>
      <w:r>
        <w:rPr>
          <w:rFonts w:ascii="Arial" w:hAnsi="Arial" w:cs="Arial"/>
          <w:color w:val="333333"/>
          <w:sz w:val="21"/>
          <w:szCs w:val="21"/>
        </w:rPr>
        <w:t xml:space="preserve"> = minden más sportszervezet</w:t>
      </w:r>
      <w:r w:rsidRPr="002C32A7">
        <w:rPr>
          <w:rFonts w:ascii="Arial" w:hAnsi="Arial" w:cs="Arial"/>
          <w:color w:val="333333"/>
          <w:sz w:val="21"/>
          <w:szCs w:val="21"/>
        </w:rPr>
        <w:t>.</w:t>
      </w: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Pr>
          <w:rFonts w:ascii="Arial" w:hAnsi="Arial" w:cs="Arial"/>
          <w:color w:val="333333"/>
          <w:sz w:val="21"/>
          <w:szCs w:val="21"/>
        </w:rPr>
        <w:t xml:space="preserve">– Amatőr </w:t>
      </w:r>
      <w:r w:rsidRPr="002C32A7">
        <w:rPr>
          <w:rFonts w:ascii="Arial" w:hAnsi="Arial" w:cs="Arial"/>
          <w:color w:val="333333"/>
          <w:sz w:val="21"/>
          <w:szCs w:val="21"/>
        </w:rPr>
        <w:t xml:space="preserve">19 éven aluli (idén az 1997. január 1. után született) labdarúgók esetében, a labdarúgó </w:t>
      </w:r>
      <w:r w:rsidRPr="002C32A7">
        <w:rPr>
          <w:rFonts w:ascii="Arial" w:hAnsi="Arial" w:cs="Arial"/>
          <w:b/>
          <w:bCs/>
          <w:color w:val="333333"/>
          <w:sz w:val="21"/>
          <w:szCs w:val="21"/>
        </w:rPr>
        <w:t>téli és nyári átigazolása</w:t>
      </w:r>
      <w:r w:rsidRPr="002C32A7">
        <w:rPr>
          <w:rFonts w:ascii="Arial" w:hAnsi="Arial" w:cs="Arial"/>
          <w:color w:val="333333"/>
          <w:sz w:val="21"/>
          <w:szCs w:val="21"/>
        </w:rPr>
        <w:t xml:space="preserve"> esetén a fenti, 2. táblázatban szereplő összegek – a két sportszervezet eltérő megállapodásának hiányában – fizetendőek az átadó sportszervezet részére. A két sportszervezet megállapodása esetén is a fenti összegek </w:t>
      </w:r>
      <w:r w:rsidRPr="002C32A7">
        <w:rPr>
          <w:rFonts w:ascii="Arial" w:hAnsi="Arial" w:cs="Arial"/>
          <w:b/>
          <w:bCs/>
          <w:color w:val="333333"/>
          <w:sz w:val="21"/>
          <w:szCs w:val="21"/>
        </w:rPr>
        <w:t>minimum 10%-a kötelezően fizetendő</w:t>
      </w:r>
      <w:r>
        <w:rPr>
          <w:rFonts w:ascii="Arial" w:hAnsi="Arial" w:cs="Arial"/>
          <w:b/>
          <w:bCs/>
          <w:color w:val="333333"/>
          <w:sz w:val="21"/>
          <w:szCs w:val="21"/>
        </w:rPr>
        <w:t xml:space="preserve"> (12 évnél idősebb labdarúgó esetén minimum 10.000 Ft, 12 év alatti labdarúgó esetén minimum 5.000 Ft.).</w:t>
      </w: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Amennyiben egy klubot váltó játékos egy éven belül újra átigazol, az új sportszervezet az előírt éves utánpótlás működési költségtérítés mellett, az átadó sportszervezet ezt megelőző utánpótlás működési költségtérítését (annyit, amennyiben akkor megegyezett a két fél) is köteles megfizetni az átadó sportszervezetnek.</w:t>
      </w: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Abban az esetben, ha egy labdarúgó egy éven belül külföldről másik magyar sportszervezetbe igazol vissza, az új sportszervezet köteles megfizetni azt az utánpótlás működési költségtérítést a labdarúgó legutóbbi magyar sportszervezetének, amelyet közvetlen odaigazolása esetén kellett volna fizetni.</w:t>
      </w:r>
    </w:p>
    <w:p w:rsidR="002C32A7" w:rsidRP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b/>
          <w:bCs/>
          <w:color w:val="333333"/>
          <w:sz w:val="21"/>
          <w:szCs w:val="21"/>
        </w:rPr>
        <w:t xml:space="preserve">– Utánpótlás működési költségtérítésként a labdarúgó átigazolása esetén </w:t>
      </w:r>
      <w:r w:rsidRPr="002C32A7">
        <w:rPr>
          <w:rFonts w:ascii="Arial" w:hAnsi="Arial" w:cs="Arial"/>
          <w:b/>
          <w:bCs/>
          <w:i/>
          <w:iCs/>
          <w:color w:val="333333"/>
          <w:sz w:val="21"/>
          <w:szCs w:val="21"/>
          <w:u w:val="single"/>
        </w:rPr>
        <w:t>12 évnél fiatalabb időszakára</w:t>
      </w:r>
      <w:r w:rsidRPr="002C32A7">
        <w:rPr>
          <w:rFonts w:ascii="Arial" w:hAnsi="Arial" w:cs="Arial"/>
          <w:b/>
          <w:bCs/>
          <w:color w:val="333333"/>
          <w:sz w:val="21"/>
          <w:szCs w:val="21"/>
        </w:rPr>
        <w:t xml:space="preserve"> minden esetben, a táblázatban szereplő összegek 50%-a fizetendő.</w:t>
      </w:r>
    </w:p>
    <w:p w:rsidR="002C32A7" w:rsidRDefault="002C32A7" w:rsidP="002C32A7">
      <w:pPr>
        <w:numPr>
          <w:ilvl w:val="0"/>
          <w:numId w:val="5"/>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xml:space="preserve">– Az U19-es korosztályból kiöregedő labdarúgók (idén az 1997. január 1. után születettek) nyáron még </w:t>
      </w:r>
      <w:proofErr w:type="gramStart"/>
      <w:r w:rsidRPr="002C32A7">
        <w:rPr>
          <w:rFonts w:ascii="Arial" w:hAnsi="Arial" w:cs="Arial"/>
          <w:color w:val="333333"/>
          <w:sz w:val="21"/>
          <w:szCs w:val="21"/>
        </w:rPr>
        <w:t>a</w:t>
      </w:r>
      <w:proofErr w:type="gramEnd"/>
      <w:r w:rsidRPr="002C32A7">
        <w:rPr>
          <w:rFonts w:ascii="Arial" w:hAnsi="Arial" w:cs="Arial"/>
          <w:color w:val="333333"/>
          <w:sz w:val="21"/>
          <w:szCs w:val="21"/>
        </w:rPr>
        <w:t xml:space="preserve"> ,,B” táblázat alapján válthatnak klubot.</w:t>
      </w:r>
    </w:p>
    <w:p w:rsidR="00771B52" w:rsidRDefault="00771B52" w:rsidP="00771B52">
      <w:pPr>
        <w:spacing w:before="100" w:beforeAutospacing="1" w:after="100" w:afterAutospacing="1" w:line="300" w:lineRule="atLeast"/>
        <w:ind w:left="525"/>
        <w:rPr>
          <w:rFonts w:ascii="Arial" w:hAnsi="Arial" w:cs="Arial"/>
          <w:color w:val="333333"/>
          <w:sz w:val="21"/>
          <w:szCs w:val="21"/>
        </w:rPr>
      </w:pPr>
    </w:p>
    <w:p w:rsidR="00771B52" w:rsidRPr="002C32A7" w:rsidRDefault="00771B52" w:rsidP="00771B52">
      <w:pPr>
        <w:spacing w:before="100" w:beforeAutospacing="1" w:after="100" w:afterAutospacing="1" w:line="300" w:lineRule="atLeast"/>
        <w:ind w:left="525"/>
        <w:rPr>
          <w:rFonts w:ascii="Arial" w:hAnsi="Arial" w:cs="Arial"/>
          <w:color w:val="333333"/>
          <w:sz w:val="21"/>
          <w:szCs w:val="21"/>
        </w:rPr>
      </w:pPr>
    </w:p>
    <w:p w:rsidR="002C32A7" w:rsidRPr="002C32A7" w:rsidRDefault="002C32A7" w:rsidP="002C32A7">
      <w:pPr>
        <w:spacing w:after="150" w:line="300" w:lineRule="atLeast"/>
        <w:rPr>
          <w:rFonts w:ascii="Arial" w:hAnsi="Arial" w:cs="Arial"/>
          <w:color w:val="333333"/>
          <w:sz w:val="21"/>
          <w:szCs w:val="21"/>
        </w:rPr>
      </w:pPr>
      <w:r w:rsidRPr="002C32A7">
        <w:rPr>
          <w:rFonts w:ascii="Arial" w:hAnsi="Arial" w:cs="Arial"/>
          <w:b/>
          <w:bCs/>
          <w:color w:val="333333"/>
          <w:sz w:val="21"/>
          <w:szCs w:val="21"/>
          <w:u w:val="single"/>
        </w:rPr>
        <w:lastRenderedPageBreak/>
        <w:t>Általános tudnivalók:</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xml:space="preserve">– azokban az esetekben, amelyekben a labdarúgó után fizetni kell, a szabályosan kitöltött, aláírt és lepecsételt </w:t>
      </w:r>
      <w:r w:rsidRPr="002C32A7">
        <w:rPr>
          <w:rFonts w:ascii="Arial" w:hAnsi="Arial" w:cs="Arial"/>
          <w:b/>
          <w:color w:val="333333"/>
          <w:sz w:val="21"/>
          <w:szCs w:val="21"/>
        </w:rPr>
        <w:t>átigazolási lap</w:t>
      </w:r>
      <w:r w:rsidRPr="002C32A7">
        <w:rPr>
          <w:rFonts w:ascii="Arial" w:hAnsi="Arial" w:cs="Arial"/>
          <w:color w:val="333333"/>
          <w:sz w:val="21"/>
          <w:szCs w:val="21"/>
        </w:rPr>
        <w:t xml:space="preserve"> mellett szükség van az átadó egyesület által kiállított </w:t>
      </w:r>
      <w:r w:rsidRPr="002C32A7">
        <w:rPr>
          <w:rFonts w:ascii="Arial" w:hAnsi="Arial" w:cs="Arial"/>
          <w:b/>
          <w:bCs/>
          <w:color w:val="333333"/>
          <w:sz w:val="21"/>
          <w:szCs w:val="21"/>
        </w:rPr>
        <w:t>számlára</w:t>
      </w:r>
      <w:r w:rsidRPr="002C32A7">
        <w:rPr>
          <w:rFonts w:ascii="Arial" w:hAnsi="Arial" w:cs="Arial"/>
          <w:color w:val="333333"/>
          <w:sz w:val="21"/>
          <w:szCs w:val="21"/>
        </w:rPr>
        <w:t xml:space="preserve">, a banki átutalásról készült </w:t>
      </w:r>
      <w:r w:rsidRPr="002C32A7">
        <w:rPr>
          <w:rFonts w:ascii="Arial" w:hAnsi="Arial" w:cs="Arial"/>
          <w:b/>
          <w:bCs/>
          <w:color w:val="333333"/>
          <w:sz w:val="21"/>
          <w:szCs w:val="21"/>
        </w:rPr>
        <w:t>bizonylatra</w:t>
      </w:r>
      <w:r w:rsidRPr="002C32A7">
        <w:rPr>
          <w:rFonts w:ascii="Arial" w:hAnsi="Arial" w:cs="Arial"/>
          <w:color w:val="333333"/>
          <w:sz w:val="21"/>
          <w:szCs w:val="21"/>
        </w:rPr>
        <w:t xml:space="preserve">, továbbá a táblázattól eltérő összegben való megállapodás esetén az </w:t>
      </w:r>
      <w:r w:rsidRPr="002C32A7">
        <w:rPr>
          <w:rFonts w:ascii="Arial" w:hAnsi="Arial" w:cs="Arial"/>
          <w:b/>
          <w:bCs/>
          <w:color w:val="333333"/>
          <w:sz w:val="21"/>
          <w:szCs w:val="21"/>
        </w:rPr>
        <w:t xml:space="preserve">írásos megállapodásról szóló dokumentációra </w:t>
      </w:r>
      <w:r w:rsidRPr="002C32A7">
        <w:rPr>
          <w:rFonts w:ascii="Arial" w:hAnsi="Arial" w:cs="Arial"/>
          <w:color w:val="333333"/>
          <w:sz w:val="21"/>
          <w:szCs w:val="21"/>
        </w:rPr>
        <w:t>(</w:t>
      </w:r>
      <w:hyperlink r:id="rId9" w:tgtFrame="_blank" w:history="1">
        <w:r w:rsidR="00771B52">
          <w:rPr>
            <w:rFonts w:ascii="Arial" w:hAnsi="Arial" w:cs="Arial"/>
            <w:b/>
            <w:bCs/>
            <w:color w:val="0C0C0C"/>
            <w:sz w:val="21"/>
            <w:szCs w:val="21"/>
          </w:rPr>
          <w:t>Mellékelten küldjük a mintát)</w:t>
        </w:r>
      </w:hyperlink>
      <w:r w:rsidRPr="002C32A7">
        <w:rPr>
          <w:rFonts w:ascii="Arial" w:hAnsi="Arial" w:cs="Arial"/>
          <w:color w:val="333333"/>
          <w:sz w:val="21"/>
          <w:szCs w:val="21"/>
        </w:rPr>
        <w:t xml:space="preserve"> is, melyet szintén alá kell írnia és le kell pecsételnie mindkét félnek;</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a játékosokért mindig a legutolsó klubjának kell fizetni az ott töltött évek alapján – kivéve, ha egy 19 éven aluli játékos egy éve</w:t>
      </w:r>
      <w:r w:rsidR="00771B52">
        <w:rPr>
          <w:rFonts w:ascii="Arial" w:hAnsi="Arial" w:cs="Arial"/>
          <w:color w:val="333333"/>
          <w:sz w:val="21"/>
          <w:szCs w:val="21"/>
        </w:rPr>
        <w:t>n belül újra klubot vált (lásd f</w:t>
      </w:r>
      <w:r w:rsidRPr="002C32A7">
        <w:rPr>
          <w:rFonts w:ascii="Arial" w:hAnsi="Arial" w:cs="Arial"/>
          <w:color w:val="333333"/>
          <w:sz w:val="21"/>
          <w:szCs w:val="21"/>
        </w:rPr>
        <w:t>entebb);</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a költségtérítést csak átutalással lehet rendezni, nincs készpénzes fizetés, továbbá részletfizetésre sincs lehetőség;</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xml:space="preserve">– </w:t>
      </w:r>
      <w:r w:rsidRPr="002C32A7">
        <w:rPr>
          <w:rFonts w:ascii="Arial" w:hAnsi="Arial" w:cs="Arial"/>
          <w:b/>
          <w:color w:val="333333"/>
          <w:sz w:val="21"/>
          <w:szCs w:val="21"/>
        </w:rPr>
        <w:t>a pontos összegek szabályzatnak megfelelő meghatározása a két fél felelőssége, az MLSZ illetékes igazgatósága csak a tranzakció végrehajtását ellenőrzi;</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visszalépő, kizárt egyesület, továbbá korosztály megszűnése esetén is fizetni kell az átadó félnek. Csak abban az esetben nem kell fizetni, ha a sportszervezet megszűnt</w:t>
      </w:r>
      <w:r w:rsidR="00771B52">
        <w:rPr>
          <w:rFonts w:ascii="Arial" w:hAnsi="Arial" w:cs="Arial"/>
          <w:color w:val="333333"/>
          <w:sz w:val="21"/>
          <w:szCs w:val="21"/>
        </w:rPr>
        <w:t xml:space="preserve"> (bírósági nyilvántartásból törölve)</w:t>
      </w:r>
      <w:r w:rsidRPr="002C32A7">
        <w:rPr>
          <w:rFonts w:ascii="Arial" w:hAnsi="Arial" w:cs="Arial"/>
          <w:color w:val="333333"/>
          <w:sz w:val="21"/>
          <w:szCs w:val="21"/>
        </w:rPr>
        <w:t>;</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amennyiben a játékos több mint egy évig nem lépett pályára, úgy nem kell fizetni érte, egyébként igen;</w:t>
      </w:r>
    </w:p>
    <w:p w:rsidR="002C32A7" w:rsidRP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minden esetben a kiváltott versenyengedély a mérvadó, akkor is, ha a játékos egyszer sem lépett pályára;</w:t>
      </w:r>
    </w:p>
    <w:p w:rsidR="002C32A7" w:rsidRDefault="002C32A7" w:rsidP="002C32A7">
      <w:pPr>
        <w:numPr>
          <w:ilvl w:val="0"/>
          <w:numId w:val="6"/>
        </w:numPr>
        <w:spacing w:before="100" w:beforeAutospacing="1" w:after="100" w:afterAutospacing="1" w:line="300" w:lineRule="atLeast"/>
        <w:ind w:left="525"/>
        <w:rPr>
          <w:rFonts w:ascii="Arial" w:hAnsi="Arial" w:cs="Arial"/>
          <w:color w:val="333333"/>
          <w:sz w:val="21"/>
          <w:szCs w:val="21"/>
        </w:rPr>
      </w:pPr>
      <w:r w:rsidRPr="002C32A7">
        <w:rPr>
          <w:rFonts w:ascii="Arial" w:hAnsi="Arial" w:cs="Arial"/>
          <w:color w:val="333333"/>
          <w:sz w:val="21"/>
          <w:szCs w:val="21"/>
        </w:rPr>
        <w:t>– minden megkezdett év – akár egy nap is – teljes évnek számít fizetés szempontjából.</w:t>
      </w:r>
    </w:p>
    <w:p w:rsidR="00771B52" w:rsidRPr="002C32A7" w:rsidRDefault="00771B52" w:rsidP="002C32A7">
      <w:pPr>
        <w:numPr>
          <w:ilvl w:val="0"/>
          <w:numId w:val="6"/>
        </w:numPr>
        <w:spacing w:before="100" w:beforeAutospacing="1" w:after="100" w:afterAutospacing="1" w:line="300" w:lineRule="atLeast"/>
        <w:ind w:left="525"/>
        <w:rPr>
          <w:rFonts w:ascii="Arial" w:hAnsi="Arial" w:cs="Arial"/>
          <w:color w:val="333333"/>
          <w:sz w:val="21"/>
          <w:szCs w:val="21"/>
        </w:rPr>
      </w:pPr>
      <w:r>
        <w:rPr>
          <w:rFonts w:ascii="Arial" w:hAnsi="Arial" w:cs="Arial"/>
          <w:color w:val="333333"/>
          <w:sz w:val="21"/>
          <w:szCs w:val="21"/>
        </w:rPr>
        <w:t xml:space="preserve">a működési költségtérítés ÁFA köteles, kivéve ha </w:t>
      </w:r>
      <w:proofErr w:type="spellStart"/>
      <w:r>
        <w:rPr>
          <w:rFonts w:ascii="Arial" w:hAnsi="Arial" w:cs="Arial"/>
          <w:color w:val="333333"/>
          <w:sz w:val="21"/>
          <w:szCs w:val="21"/>
        </w:rPr>
        <w:t>ÁFA-mentes</w:t>
      </w:r>
      <w:proofErr w:type="spellEnd"/>
      <w:r>
        <w:rPr>
          <w:rFonts w:ascii="Arial" w:hAnsi="Arial" w:cs="Arial"/>
          <w:color w:val="333333"/>
          <w:sz w:val="21"/>
          <w:szCs w:val="21"/>
        </w:rPr>
        <w:t xml:space="preserve"> az egyesület/cég.</w:t>
      </w:r>
      <w:bookmarkStart w:id="0" w:name="_GoBack"/>
      <w:bookmarkEnd w:id="0"/>
    </w:p>
    <w:p w:rsidR="00F3047D" w:rsidRPr="008A4AFC" w:rsidRDefault="00F3047D" w:rsidP="00EC637B">
      <w:pPr>
        <w:jc w:val="both"/>
        <w:rPr>
          <w:rFonts w:ascii="Arial" w:hAnsi="Arial" w:cs="Arial"/>
          <w:sz w:val="22"/>
          <w:szCs w:val="22"/>
        </w:rPr>
      </w:pPr>
    </w:p>
    <w:p w:rsidR="00F3047D" w:rsidRPr="008A4AFC" w:rsidRDefault="00F3047D" w:rsidP="00EC637B">
      <w:pPr>
        <w:jc w:val="both"/>
        <w:rPr>
          <w:rFonts w:ascii="Arial" w:hAnsi="Arial" w:cs="Arial"/>
          <w:sz w:val="22"/>
          <w:szCs w:val="22"/>
        </w:rPr>
      </w:pPr>
    </w:p>
    <w:p w:rsidR="000C6A9F" w:rsidRDefault="000C6A9F" w:rsidP="000C6A9F">
      <w:pPr>
        <w:jc w:val="both"/>
        <w:rPr>
          <w:rFonts w:ascii="Arial" w:hAnsi="Arial" w:cs="Arial"/>
          <w:sz w:val="22"/>
          <w:szCs w:val="22"/>
        </w:rPr>
      </w:pPr>
    </w:p>
    <w:p w:rsidR="000C6A9F" w:rsidRDefault="000C6A9F" w:rsidP="000C6A9F">
      <w:pPr>
        <w:jc w:val="both"/>
        <w:rPr>
          <w:rFonts w:ascii="Arial" w:hAnsi="Arial" w:cs="Arial"/>
          <w:sz w:val="22"/>
          <w:szCs w:val="22"/>
        </w:rPr>
      </w:pPr>
    </w:p>
    <w:p w:rsidR="000C6A9F" w:rsidRDefault="000C6A9F" w:rsidP="000C6A9F">
      <w:pPr>
        <w:jc w:val="center"/>
        <w:rPr>
          <w:rFonts w:ascii="Arial" w:hAnsi="Arial" w:cs="Arial"/>
          <w:b/>
          <w:sz w:val="22"/>
          <w:szCs w:val="22"/>
          <w:u w:val="single"/>
        </w:rPr>
      </w:pPr>
    </w:p>
    <w:p w:rsidR="000C6A9F" w:rsidRDefault="000C6A9F" w:rsidP="000C6A9F">
      <w:pPr>
        <w:jc w:val="center"/>
        <w:rPr>
          <w:rFonts w:ascii="Arial" w:hAnsi="Arial" w:cs="Arial"/>
          <w:b/>
          <w:sz w:val="22"/>
          <w:szCs w:val="22"/>
          <w:u w:val="single"/>
        </w:rPr>
      </w:pPr>
    </w:p>
    <w:p w:rsidR="000C6A9F" w:rsidRDefault="000C6A9F" w:rsidP="000C6A9F">
      <w:pPr>
        <w:jc w:val="center"/>
        <w:rPr>
          <w:rFonts w:ascii="Arial" w:hAnsi="Arial" w:cs="Arial"/>
          <w:b/>
          <w:sz w:val="22"/>
          <w:szCs w:val="22"/>
          <w:u w:val="single"/>
        </w:rPr>
      </w:pPr>
    </w:p>
    <w:p w:rsidR="000C6A9F" w:rsidRDefault="000C6A9F" w:rsidP="000C6A9F">
      <w:pPr>
        <w:jc w:val="center"/>
        <w:rPr>
          <w:rFonts w:ascii="Arial" w:hAnsi="Arial" w:cs="Arial"/>
          <w:b/>
          <w:sz w:val="22"/>
          <w:szCs w:val="22"/>
          <w:u w:val="single"/>
        </w:rPr>
      </w:pPr>
    </w:p>
    <w:p w:rsidR="000C6A9F" w:rsidRDefault="000C6A9F" w:rsidP="000C6A9F">
      <w:pPr>
        <w:jc w:val="center"/>
        <w:rPr>
          <w:rFonts w:ascii="Arial" w:hAnsi="Arial" w:cs="Arial"/>
          <w:b/>
          <w:sz w:val="22"/>
          <w:szCs w:val="22"/>
          <w:u w:val="single"/>
        </w:rPr>
      </w:pPr>
    </w:p>
    <w:p w:rsidR="000C6A9F" w:rsidRPr="008A4AFC" w:rsidRDefault="000C6A9F" w:rsidP="00C83AB6">
      <w:pPr>
        <w:ind w:left="708" w:firstLine="708"/>
        <w:rPr>
          <w:rFonts w:ascii="Arial" w:hAnsi="Arial" w:cs="Arial"/>
          <w:sz w:val="22"/>
          <w:szCs w:val="22"/>
        </w:rPr>
      </w:pPr>
    </w:p>
    <w:sectPr w:rsidR="000C6A9F" w:rsidRPr="008A4AFC" w:rsidSect="005803CE">
      <w:footerReference w:type="even" r:id="rId10"/>
      <w:footerReference w:type="default" r:id="rId11"/>
      <w:headerReference w:type="first" r:id="rId12"/>
      <w:footerReference w:type="first" r:id="rId13"/>
      <w:pgSz w:w="11906" w:h="16838" w:code="9"/>
      <w:pgMar w:top="709" w:right="1418" w:bottom="1418" w:left="1418" w:header="142"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46" w:rsidRDefault="00EF6446">
      <w:r>
        <w:separator/>
      </w:r>
    </w:p>
  </w:endnote>
  <w:endnote w:type="continuationSeparator" w:id="0">
    <w:p w:rsidR="00EF6446" w:rsidRDefault="00E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0F" w:rsidRDefault="00873EDE" w:rsidP="00DD25E6">
    <w:pPr>
      <w:pStyle w:val="llb"/>
      <w:framePr w:wrap="around" w:vAnchor="text" w:hAnchor="margin" w:xAlign="center" w:y="1"/>
      <w:rPr>
        <w:rStyle w:val="Oldalszm"/>
      </w:rPr>
    </w:pPr>
    <w:r>
      <w:rPr>
        <w:rStyle w:val="Oldalszm"/>
      </w:rPr>
      <w:fldChar w:fldCharType="begin"/>
    </w:r>
    <w:r w:rsidR="00664B0F">
      <w:rPr>
        <w:rStyle w:val="Oldalszm"/>
      </w:rPr>
      <w:instrText xml:space="preserve">PAGE  </w:instrText>
    </w:r>
    <w:r>
      <w:rPr>
        <w:rStyle w:val="Oldalszm"/>
      </w:rPr>
      <w:fldChar w:fldCharType="end"/>
    </w:r>
  </w:p>
  <w:p w:rsidR="00664B0F" w:rsidRDefault="00664B0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0F" w:rsidRDefault="00873EDE" w:rsidP="00DD25E6">
    <w:pPr>
      <w:pStyle w:val="llb"/>
      <w:framePr w:wrap="around" w:vAnchor="text" w:hAnchor="margin" w:xAlign="center" w:y="1"/>
      <w:rPr>
        <w:rStyle w:val="Oldalszm"/>
      </w:rPr>
    </w:pPr>
    <w:r>
      <w:rPr>
        <w:rStyle w:val="Oldalszm"/>
      </w:rPr>
      <w:fldChar w:fldCharType="begin"/>
    </w:r>
    <w:r w:rsidR="00664B0F">
      <w:rPr>
        <w:rStyle w:val="Oldalszm"/>
      </w:rPr>
      <w:instrText xml:space="preserve">PAGE  </w:instrText>
    </w:r>
    <w:r>
      <w:rPr>
        <w:rStyle w:val="Oldalszm"/>
      </w:rPr>
      <w:fldChar w:fldCharType="separate"/>
    </w:r>
    <w:r w:rsidR="00A34141">
      <w:rPr>
        <w:rStyle w:val="Oldalszm"/>
        <w:noProof/>
      </w:rPr>
      <w:t>2</w:t>
    </w:r>
    <w:r>
      <w:rPr>
        <w:rStyle w:val="Oldalszm"/>
      </w:rPr>
      <w:fldChar w:fldCharType="end"/>
    </w:r>
  </w:p>
  <w:p w:rsidR="006C35B7" w:rsidRDefault="006C35B7" w:rsidP="00BF614A">
    <w:pPr>
      <w:pStyle w:val="llb"/>
    </w:pPr>
  </w:p>
  <w:p w:rsidR="001635EB" w:rsidRPr="00632A5D" w:rsidRDefault="001635EB" w:rsidP="00BF614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2" w:rsidRPr="005803CE" w:rsidRDefault="00EC637B" w:rsidP="005803CE">
    <w:pPr>
      <w:pStyle w:val="llb"/>
      <w:ind w:left="-1418"/>
    </w:pPr>
    <w:r w:rsidRPr="00D13B65">
      <w:rPr>
        <w:noProof/>
      </w:rPr>
      <w:drawing>
        <wp:inline distT="0" distB="0" distL="0" distR="0">
          <wp:extent cx="7559040" cy="922020"/>
          <wp:effectExtent l="0" t="0" r="3810" b="0"/>
          <wp:docPr id="2" name="Kép 2" descr="Leírás: Leírás: mlsz_lablec_sz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2" descr="Leírás: Leírás: mlsz_lablec_szine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220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46" w:rsidRDefault="00EF6446">
      <w:r>
        <w:separator/>
      </w:r>
    </w:p>
  </w:footnote>
  <w:footnote w:type="continuationSeparator" w:id="0">
    <w:p w:rsidR="00EF6446" w:rsidRDefault="00EF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6" w:type="dxa"/>
      <w:tblInd w:w="108" w:type="dxa"/>
      <w:tblLook w:val="04A0" w:firstRow="1" w:lastRow="0" w:firstColumn="1" w:lastColumn="0" w:noHBand="0" w:noVBand="1"/>
    </w:tblPr>
    <w:tblGrid>
      <w:gridCol w:w="10605"/>
      <w:gridCol w:w="222"/>
    </w:tblGrid>
    <w:tr w:rsidR="00CD2979" w:rsidTr="005803CE">
      <w:tc>
        <w:tcPr>
          <w:tcW w:w="10604" w:type="dxa"/>
          <w:shd w:val="clear" w:color="auto" w:fill="auto"/>
          <w:vAlign w:val="center"/>
        </w:tcPr>
        <w:p w:rsidR="00CD2979" w:rsidRPr="003A65BC" w:rsidRDefault="00EC637B" w:rsidP="005803CE">
          <w:pPr>
            <w:pStyle w:val="lfej"/>
            <w:ind w:left="-1521"/>
            <w:rPr>
              <w:rFonts w:ascii="Calibri" w:hAnsi="Calibri" w:cs="Calibri"/>
            </w:rPr>
          </w:pPr>
          <w:r w:rsidRPr="00193F50">
            <w:rPr>
              <w:rFonts w:ascii="Calibri" w:hAnsi="Calibri" w:cs="Calibri"/>
              <w:noProof/>
            </w:rPr>
            <w:drawing>
              <wp:inline distT="0" distB="0" distL="0" distR="0">
                <wp:extent cx="7559040" cy="1470660"/>
                <wp:effectExtent l="0" t="0" r="3810" b="0"/>
                <wp:docPr id="1" name="Kép 1" descr="Leírás: Leírás: mlsz_fejlec_sz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1" descr="Leírás: Leírás: mlsz_fejlec_szines"/>
                        <pic:cNvPicPr>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9040" cy="1470660"/>
                        </a:xfrm>
                        <a:prstGeom prst="rect">
                          <a:avLst/>
                        </a:prstGeom>
                        <a:noFill/>
                        <a:ln>
                          <a:noFill/>
                        </a:ln>
                      </pic:spPr>
                    </pic:pic>
                  </a:graphicData>
                </a:graphic>
              </wp:inline>
            </w:drawing>
          </w:r>
        </w:p>
      </w:tc>
      <w:tc>
        <w:tcPr>
          <w:tcW w:w="222" w:type="dxa"/>
          <w:shd w:val="clear" w:color="auto" w:fill="auto"/>
          <w:vAlign w:val="center"/>
        </w:tcPr>
        <w:p w:rsidR="00CD2979" w:rsidRPr="003A65BC" w:rsidRDefault="00CD2979" w:rsidP="003A65BC">
          <w:pPr>
            <w:pStyle w:val="lfej"/>
            <w:ind w:left="94"/>
            <w:rPr>
              <w:rFonts w:ascii="Calibri" w:hAnsi="Calibri" w:cs="Calibri"/>
            </w:rPr>
          </w:pPr>
        </w:p>
      </w:tc>
    </w:tr>
  </w:tbl>
  <w:p w:rsidR="00080358" w:rsidRPr="00C46FC7" w:rsidRDefault="00080358" w:rsidP="00D71E67">
    <w:pPr>
      <w:pStyle w:val="lfej"/>
      <w:ind w:left="-567" w:firstLine="567"/>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8C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46F55"/>
    <w:multiLevelType w:val="hybridMultilevel"/>
    <w:tmpl w:val="4A6A5D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FD6543A"/>
    <w:multiLevelType w:val="multilevel"/>
    <w:tmpl w:val="1DE4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23BD7"/>
    <w:multiLevelType w:val="hybridMultilevel"/>
    <w:tmpl w:val="F35A4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4E962BB"/>
    <w:multiLevelType w:val="hybridMultilevel"/>
    <w:tmpl w:val="500A063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66790B24"/>
    <w:multiLevelType w:val="multilevel"/>
    <w:tmpl w:val="11E8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5"/>
    <w:rsid w:val="00020C84"/>
    <w:rsid w:val="000273A5"/>
    <w:rsid w:val="0003142C"/>
    <w:rsid w:val="00071D34"/>
    <w:rsid w:val="00080358"/>
    <w:rsid w:val="00095E0E"/>
    <w:rsid w:val="00097D4D"/>
    <w:rsid w:val="000A3095"/>
    <w:rsid w:val="000C427A"/>
    <w:rsid w:val="000C6A9F"/>
    <w:rsid w:val="000D36B8"/>
    <w:rsid w:val="0010580A"/>
    <w:rsid w:val="001155B9"/>
    <w:rsid w:val="001635EB"/>
    <w:rsid w:val="001741EB"/>
    <w:rsid w:val="001823F4"/>
    <w:rsid w:val="00193F50"/>
    <w:rsid w:val="001C4566"/>
    <w:rsid w:val="001C7F52"/>
    <w:rsid w:val="001E5C4C"/>
    <w:rsid w:val="001F7628"/>
    <w:rsid w:val="00230CB1"/>
    <w:rsid w:val="00270675"/>
    <w:rsid w:val="00272DED"/>
    <w:rsid w:val="002840C6"/>
    <w:rsid w:val="002B7C55"/>
    <w:rsid w:val="002C0D09"/>
    <w:rsid w:val="002C32A7"/>
    <w:rsid w:val="002C7686"/>
    <w:rsid w:val="002D097E"/>
    <w:rsid w:val="002D24DC"/>
    <w:rsid w:val="002E25D0"/>
    <w:rsid w:val="002E674B"/>
    <w:rsid w:val="00310F81"/>
    <w:rsid w:val="00315929"/>
    <w:rsid w:val="00316DE5"/>
    <w:rsid w:val="00330F18"/>
    <w:rsid w:val="00347801"/>
    <w:rsid w:val="003623A9"/>
    <w:rsid w:val="00362B39"/>
    <w:rsid w:val="00364BA7"/>
    <w:rsid w:val="00377430"/>
    <w:rsid w:val="00382DBC"/>
    <w:rsid w:val="00393EEF"/>
    <w:rsid w:val="003A2C76"/>
    <w:rsid w:val="003A341C"/>
    <w:rsid w:val="003A65BC"/>
    <w:rsid w:val="003C4A15"/>
    <w:rsid w:val="003E13AC"/>
    <w:rsid w:val="003F1B3C"/>
    <w:rsid w:val="003F5077"/>
    <w:rsid w:val="00410906"/>
    <w:rsid w:val="00410C15"/>
    <w:rsid w:val="00415D65"/>
    <w:rsid w:val="004249F9"/>
    <w:rsid w:val="00425AE3"/>
    <w:rsid w:val="00437028"/>
    <w:rsid w:val="004B5E75"/>
    <w:rsid w:val="004B7439"/>
    <w:rsid w:val="004D59DA"/>
    <w:rsid w:val="00530D36"/>
    <w:rsid w:val="0056330E"/>
    <w:rsid w:val="005803CE"/>
    <w:rsid w:val="00580593"/>
    <w:rsid w:val="0058510B"/>
    <w:rsid w:val="005928EE"/>
    <w:rsid w:val="00593417"/>
    <w:rsid w:val="005B3A05"/>
    <w:rsid w:val="005D3166"/>
    <w:rsid w:val="005E35BA"/>
    <w:rsid w:val="005E6E1F"/>
    <w:rsid w:val="006004AF"/>
    <w:rsid w:val="0061321B"/>
    <w:rsid w:val="00621DE6"/>
    <w:rsid w:val="00632A5D"/>
    <w:rsid w:val="00641DD7"/>
    <w:rsid w:val="00650255"/>
    <w:rsid w:val="00664B0F"/>
    <w:rsid w:val="006775A7"/>
    <w:rsid w:val="006A5251"/>
    <w:rsid w:val="006C35B7"/>
    <w:rsid w:val="00700F8A"/>
    <w:rsid w:val="007309F4"/>
    <w:rsid w:val="00746E22"/>
    <w:rsid w:val="00756C98"/>
    <w:rsid w:val="0076605A"/>
    <w:rsid w:val="00771B52"/>
    <w:rsid w:val="007736B4"/>
    <w:rsid w:val="00775707"/>
    <w:rsid w:val="00792D2A"/>
    <w:rsid w:val="007B58C7"/>
    <w:rsid w:val="007B774C"/>
    <w:rsid w:val="007C1B09"/>
    <w:rsid w:val="007C2B0B"/>
    <w:rsid w:val="007C4218"/>
    <w:rsid w:val="007D15D6"/>
    <w:rsid w:val="007D58AB"/>
    <w:rsid w:val="007E5F7B"/>
    <w:rsid w:val="00817EE0"/>
    <w:rsid w:val="00842912"/>
    <w:rsid w:val="00846739"/>
    <w:rsid w:val="008573DD"/>
    <w:rsid w:val="00873EDE"/>
    <w:rsid w:val="00895040"/>
    <w:rsid w:val="008951B3"/>
    <w:rsid w:val="008A4AFC"/>
    <w:rsid w:val="008B04A6"/>
    <w:rsid w:val="008B5CC8"/>
    <w:rsid w:val="008E4708"/>
    <w:rsid w:val="008F6218"/>
    <w:rsid w:val="00901788"/>
    <w:rsid w:val="0091457A"/>
    <w:rsid w:val="009336B5"/>
    <w:rsid w:val="00953019"/>
    <w:rsid w:val="00967667"/>
    <w:rsid w:val="009765C1"/>
    <w:rsid w:val="00976DF8"/>
    <w:rsid w:val="0097745A"/>
    <w:rsid w:val="00983EDF"/>
    <w:rsid w:val="00986F80"/>
    <w:rsid w:val="0099315B"/>
    <w:rsid w:val="009A2F61"/>
    <w:rsid w:val="009A5030"/>
    <w:rsid w:val="009B15D5"/>
    <w:rsid w:val="009B40EC"/>
    <w:rsid w:val="009D56B3"/>
    <w:rsid w:val="009F2091"/>
    <w:rsid w:val="009F6F99"/>
    <w:rsid w:val="00A026C7"/>
    <w:rsid w:val="00A07A7F"/>
    <w:rsid w:val="00A10A7C"/>
    <w:rsid w:val="00A170F2"/>
    <w:rsid w:val="00A34141"/>
    <w:rsid w:val="00A402F8"/>
    <w:rsid w:val="00A433C4"/>
    <w:rsid w:val="00A6239B"/>
    <w:rsid w:val="00A73805"/>
    <w:rsid w:val="00A747C9"/>
    <w:rsid w:val="00A92BCA"/>
    <w:rsid w:val="00A97DD9"/>
    <w:rsid w:val="00AC3036"/>
    <w:rsid w:val="00AD06E9"/>
    <w:rsid w:val="00AD1FCB"/>
    <w:rsid w:val="00AE6881"/>
    <w:rsid w:val="00AF1484"/>
    <w:rsid w:val="00AF2EC4"/>
    <w:rsid w:val="00B01EA1"/>
    <w:rsid w:val="00B26B12"/>
    <w:rsid w:val="00B33CE5"/>
    <w:rsid w:val="00B52C91"/>
    <w:rsid w:val="00B6494A"/>
    <w:rsid w:val="00B72C25"/>
    <w:rsid w:val="00B768C6"/>
    <w:rsid w:val="00B86F13"/>
    <w:rsid w:val="00B93CA4"/>
    <w:rsid w:val="00BA77FE"/>
    <w:rsid w:val="00BC3FC2"/>
    <w:rsid w:val="00BC4FE8"/>
    <w:rsid w:val="00BC6AFC"/>
    <w:rsid w:val="00BC6E3A"/>
    <w:rsid w:val="00BE1A3E"/>
    <w:rsid w:val="00BF4887"/>
    <w:rsid w:val="00BF614A"/>
    <w:rsid w:val="00C02921"/>
    <w:rsid w:val="00C076DA"/>
    <w:rsid w:val="00C12475"/>
    <w:rsid w:val="00C46FC7"/>
    <w:rsid w:val="00C83AB6"/>
    <w:rsid w:val="00C867E7"/>
    <w:rsid w:val="00CA6B8A"/>
    <w:rsid w:val="00CC022C"/>
    <w:rsid w:val="00CC0E52"/>
    <w:rsid w:val="00CD2979"/>
    <w:rsid w:val="00CF0DC7"/>
    <w:rsid w:val="00D01BBC"/>
    <w:rsid w:val="00D0597F"/>
    <w:rsid w:val="00D118DC"/>
    <w:rsid w:val="00D35BB9"/>
    <w:rsid w:val="00D5038D"/>
    <w:rsid w:val="00D71E67"/>
    <w:rsid w:val="00DA5424"/>
    <w:rsid w:val="00DD25E6"/>
    <w:rsid w:val="00DD460E"/>
    <w:rsid w:val="00DE05AD"/>
    <w:rsid w:val="00E042A3"/>
    <w:rsid w:val="00E051D0"/>
    <w:rsid w:val="00E12F84"/>
    <w:rsid w:val="00E17845"/>
    <w:rsid w:val="00E46077"/>
    <w:rsid w:val="00E53BA5"/>
    <w:rsid w:val="00E5454A"/>
    <w:rsid w:val="00E645DE"/>
    <w:rsid w:val="00E668F4"/>
    <w:rsid w:val="00E92BAE"/>
    <w:rsid w:val="00E93DAD"/>
    <w:rsid w:val="00E96BB1"/>
    <w:rsid w:val="00EC637B"/>
    <w:rsid w:val="00EE3F22"/>
    <w:rsid w:val="00EF6446"/>
    <w:rsid w:val="00F02D9E"/>
    <w:rsid w:val="00F12F50"/>
    <w:rsid w:val="00F2006A"/>
    <w:rsid w:val="00F2364A"/>
    <w:rsid w:val="00F25BD7"/>
    <w:rsid w:val="00F3047D"/>
    <w:rsid w:val="00F34E1D"/>
    <w:rsid w:val="00F41DAC"/>
    <w:rsid w:val="00F61A89"/>
    <w:rsid w:val="00F83E9D"/>
    <w:rsid w:val="00FA0C24"/>
    <w:rsid w:val="00FC1664"/>
    <w:rsid w:val="00FC172E"/>
    <w:rsid w:val="00FC32E4"/>
    <w:rsid w:val="00FF46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D59D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CC0E52"/>
    <w:rPr>
      <w:rFonts w:ascii="Tahoma" w:hAnsi="Tahoma" w:cs="Tahoma"/>
      <w:sz w:val="16"/>
      <w:szCs w:val="16"/>
    </w:rPr>
  </w:style>
  <w:style w:type="paragraph" w:styleId="lfej">
    <w:name w:val="header"/>
    <w:basedOn w:val="Norml"/>
    <w:rsid w:val="00953019"/>
    <w:pPr>
      <w:tabs>
        <w:tab w:val="center" w:pos="4536"/>
        <w:tab w:val="right" w:pos="9072"/>
      </w:tabs>
    </w:pPr>
  </w:style>
  <w:style w:type="paragraph" w:styleId="llb">
    <w:name w:val="footer"/>
    <w:basedOn w:val="Norml"/>
    <w:link w:val="llbChar"/>
    <w:rsid w:val="00953019"/>
    <w:pPr>
      <w:tabs>
        <w:tab w:val="center" w:pos="4536"/>
        <w:tab w:val="right" w:pos="9072"/>
      </w:tabs>
    </w:pPr>
  </w:style>
  <w:style w:type="table" w:styleId="Rcsostblzat">
    <w:name w:val="Table Grid"/>
    <w:basedOn w:val="Normltblzat"/>
    <w:rsid w:val="001C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1C7F52"/>
    <w:pPr>
      <w:jc w:val="center"/>
    </w:pPr>
    <w:rPr>
      <w:rFonts w:ascii="Arial" w:hAnsi="Arial"/>
      <w:sz w:val="28"/>
      <w:szCs w:val="20"/>
    </w:rPr>
  </w:style>
  <w:style w:type="paragraph" w:customStyle="1" w:styleId="Cmzettcme">
    <w:name w:val="Címzett címe"/>
    <w:basedOn w:val="Norml"/>
    <w:rsid w:val="00E92BAE"/>
    <w:rPr>
      <w:rFonts w:ascii="Arial" w:hAnsi="Arial" w:cs="Arial"/>
      <w:sz w:val="20"/>
      <w:szCs w:val="20"/>
      <w:lang w:bidi="hu-HU"/>
    </w:rPr>
  </w:style>
  <w:style w:type="character" w:styleId="Oldalszm">
    <w:name w:val="page number"/>
    <w:basedOn w:val="Bekezdsalapbettpusa"/>
    <w:rsid w:val="00A170F2"/>
  </w:style>
  <w:style w:type="paragraph" w:styleId="Alrs">
    <w:name w:val="Signature"/>
    <w:basedOn w:val="Norml"/>
    <w:link w:val="AlrsChar"/>
    <w:rsid w:val="00230CB1"/>
    <w:rPr>
      <w:lang w:val="en-US" w:eastAsia="en-US"/>
    </w:rPr>
  </w:style>
  <w:style w:type="character" w:customStyle="1" w:styleId="AlrsChar">
    <w:name w:val="Aláírás Char"/>
    <w:link w:val="Alrs"/>
    <w:rsid w:val="00230CB1"/>
    <w:rPr>
      <w:sz w:val="24"/>
      <w:szCs w:val="24"/>
      <w:lang w:val="en-US" w:eastAsia="en-US"/>
    </w:rPr>
  </w:style>
  <w:style w:type="paragraph" w:styleId="NormlWeb">
    <w:name w:val="Normal (Web)"/>
    <w:basedOn w:val="Norml"/>
    <w:uiPriority w:val="99"/>
    <w:unhideWhenUsed/>
    <w:rsid w:val="00362B39"/>
    <w:pPr>
      <w:spacing w:before="100" w:beforeAutospacing="1" w:after="100" w:afterAutospacing="1"/>
    </w:pPr>
  </w:style>
  <w:style w:type="character" w:customStyle="1" w:styleId="llbChar">
    <w:name w:val="Élőláb Char"/>
    <w:link w:val="llb"/>
    <w:rsid w:val="003623A9"/>
    <w:rPr>
      <w:sz w:val="24"/>
      <w:szCs w:val="24"/>
    </w:rPr>
  </w:style>
  <w:style w:type="paragraph" w:styleId="Listaszerbekezds">
    <w:name w:val="List Paragraph"/>
    <w:basedOn w:val="Norml"/>
    <w:uiPriority w:val="34"/>
    <w:qFormat/>
    <w:rsid w:val="00B86F13"/>
    <w:pPr>
      <w:ind w:left="720"/>
      <w:contextualSpacing/>
    </w:pPr>
  </w:style>
  <w:style w:type="paragraph" w:customStyle="1" w:styleId="Default">
    <w:name w:val="Default"/>
    <w:rsid w:val="00D01BBC"/>
    <w:pPr>
      <w:autoSpaceDE w:val="0"/>
      <w:autoSpaceDN w:val="0"/>
      <w:adjustRightInd w:val="0"/>
    </w:pPr>
    <w:rPr>
      <w:rFonts w:ascii="Arial" w:hAnsi="Arial" w:cs="Arial"/>
      <w:color w:val="000000"/>
      <w:sz w:val="24"/>
      <w:szCs w:val="24"/>
    </w:rPr>
  </w:style>
  <w:style w:type="character" w:styleId="Hiperhivatkozs">
    <w:name w:val="Hyperlink"/>
    <w:basedOn w:val="Bekezdsalapbettpusa"/>
    <w:uiPriority w:val="99"/>
    <w:unhideWhenUsed/>
    <w:rsid w:val="002C32A7"/>
    <w:rPr>
      <w:strike w:val="0"/>
      <w:dstrike w:val="0"/>
      <w:color w:val="0C0C0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D59D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CC0E52"/>
    <w:rPr>
      <w:rFonts w:ascii="Tahoma" w:hAnsi="Tahoma" w:cs="Tahoma"/>
      <w:sz w:val="16"/>
      <w:szCs w:val="16"/>
    </w:rPr>
  </w:style>
  <w:style w:type="paragraph" w:styleId="lfej">
    <w:name w:val="header"/>
    <w:basedOn w:val="Norml"/>
    <w:rsid w:val="00953019"/>
    <w:pPr>
      <w:tabs>
        <w:tab w:val="center" w:pos="4536"/>
        <w:tab w:val="right" w:pos="9072"/>
      </w:tabs>
    </w:pPr>
  </w:style>
  <w:style w:type="paragraph" w:styleId="llb">
    <w:name w:val="footer"/>
    <w:basedOn w:val="Norml"/>
    <w:link w:val="llbChar"/>
    <w:rsid w:val="00953019"/>
    <w:pPr>
      <w:tabs>
        <w:tab w:val="center" w:pos="4536"/>
        <w:tab w:val="right" w:pos="9072"/>
      </w:tabs>
    </w:pPr>
  </w:style>
  <w:style w:type="table" w:styleId="Rcsostblzat">
    <w:name w:val="Table Grid"/>
    <w:basedOn w:val="Normltblzat"/>
    <w:rsid w:val="001C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1C7F52"/>
    <w:pPr>
      <w:jc w:val="center"/>
    </w:pPr>
    <w:rPr>
      <w:rFonts w:ascii="Arial" w:hAnsi="Arial"/>
      <w:sz w:val="28"/>
      <w:szCs w:val="20"/>
    </w:rPr>
  </w:style>
  <w:style w:type="paragraph" w:customStyle="1" w:styleId="Cmzettcme">
    <w:name w:val="Címzett címe"/>
    <w:basedOn w:val="Norml"/>
    <w:rsid w:val="00E92BAE"/>
    <w:rPr>
      <w:rFonts w:ascii="Arial" w:hAnsi="Arial" w:cs="Arial"/>
      <w:sz w:val="20"/>
      <w:szCs w:val="20"/>
      <w:lang w:bidi="hu-HU"/>
    </w:rPr>
  </w:style>
  <w:style w:type="character" w:styleId="Oldalszm">
    <w:name w:val="page number"/>
    <w:basedOn w:val="Bekezdsalapbettpusa"/>
    <w:rsid w:val="00A170F2"/>
  </w:style>
  <w:style w:type="paragraph" w:styleId="Alrs">
    <w:name w:val="Signature"/>
    <w:basedOn w:val="Norml"/>
    <w:link w:val="AlrsChar"/>
    <w:rsid w:val="00230CB1"/>
    <w:rPr>
      <w:lang w:val="en-US" w:eastAsia="en-US"/>
    </w:rPr>
  </w:style>
  <w:style w:type="character" w:customStyle="1" w:styleId="AlrsChar">
    <w:name w:val="Aláírás Char"/>
    <w:link w:val="Alrs"/>
    <w:rsid w:val="00230CB1"/>
    <w:rPr>
      <w:sz w:val="24"/>
      <w:szCs w:val="24"/>
      <w:lang w:val="en-US" w:eastAsia="en-US"/>
    </w:rPr>
  </w:style>
  <w:style w:type="paragraph" w:styleId="NormlWeb">
    <w:name w:val="Normal (Web)"/>
    <w:basedOn w:val="Norml"/>
    <w:uiPriority w:val="99"/>
    <w:unhideWhenUsed/>
    <w:rsid w:val="00362B39"/>
    <w:pPr>
      <w:spacing w:before="100" w:beforeAutospacing="1" w:after="100" w:afterAutospacing="1"/>
    </w:pPr>
  </w:style>
  <w:style w:type="character" w:customStyle="1" w:styleId="llbChar">
    <w:name w:val="Élőláb Char"/>
    <w:link w:val="llb"/>
    <w:rsid w:val="003623A9"/>
    <w:rPr>
      <w:sz w:val="24"/>
      <w:szCs w:val="24"/>
    </w:rPr>
  </w:style>
  <w:style w:type="paragraph" w:styleId="Listaszerbekezds">
    <w:name w:val="List Paragraph"/>
    <w:basedOn w:val="Norml"/>
    <w:uiPriority w:val="34"/>
    <w:qFormat/>
    <w:rsid w:val="00B86F13"/>
    <w:pPr>
      <w:ind w:left="720"/>
      <w:contextualSpacing/>
    </w:pPr>
  </w:style>
  <w:style w:type="paragraph" w:customStyle="1" w:styleId="Default">
    <w:name w:val="Default"/>
    <w:rsid w:val="00D01BBC"/>
    <w:pPr>
      <w:autoSpaceDE w:val="0"/>
      <w:autoSpaceDN w:val="0"/>
      <w:adjustRightInd w:val="0"/>
    </w:pPr>
    <w:rPr>
      <w:rFonts w:ascii="Arial" w:hAnsi="Arial" w:cs="Arial"/>
      <w:color w:val="000000"/>
      <w:sz w:val="24"/>
      <w:szCs w:val="24"/>
    </w:rPr>
  </w:style>
  <w:style w:type="character" w:styleId="Hiperhivatkozs">
    <w:name w:val="Hyperlink"/>
    <w:basedOn w:val="Bekezdsalapbettpusa"/>
    <w:uiPriority w:val="99"/>
    <w:unhideWhenUsed/>
    <w:rsid w:val="002C32A7"/>
    <w:rPr>
      <w:strike w:val="0"/>
      <w:dstrike w:val="0"/>
      <w:color w:val="0C0C0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812">
      <w:bodyDiv w:val="1"/>
      <w:marLeft w:val="0"/>
      <w:marRight w:val="0"/>
      <w:marTop w:val="0"/>
      <w:marBottom w:val="0"/>
      <w:divBdr>
        <w:top w:val="none" w:sz="0" w:space="0" w:color="auto"/>
        <w:left w:val="none" w:sz="0" w:space="0" w:color="auto"/>
        <w:bottom w:val="none" w:sz="0" w:space="0" w:color="auto"/>
        <w:right w:val="none" w:sz="0" w:space="0" w:color="auto"/>
      </w:divBdr>
    </w:div>
    <w:div w:id="302542858">
      <w:bodyDiv w:val="1"/>
      <w:marLeft w:val="0"/>
      <w:marRight w:val="0"/>
      <w:marTop w:val="0"/>
      <w:marBottom w:val="0"/>
      <w:divBdr>
        <w:top w:val="none" w:sz="0" w:space="0" w:color="auto"/>
        <w:left w:val="none" w:sz="0" w:space="0" w:color="auto"/>
        <w:bottom w:val="none" w:sz="0" w:space="0" w:color="auto"/>
        <w:right w:val="none" w:sz="0" w:space="0" w:color="auto"/>
      </w:divBdr>
      <w:divsChild>
        <w:div w:id="210263187">
          <w:marLeft w:val="0"/>
          <w:marRight w:val="0"/>
          <w:marTop w:val="0"/>
          <w:marBottom w:val="0"/>
          <w:divBdr>
            <w:top w:val="none" w:sz="0" w:space="0" w:color="auto"/>
            <w:left w:val="none" w:sz="0" w:space="0" w:color="auto"/>
            <w:bottom w:val="none" w:sz="0" w:space="0" w:color="auto"/>
            <w:right w:val="none" w:sz="0" w:space="0" w:color="auto"/>
          </w:divBdr>
          <w:divsChild>
            <w:div w:id="1981810802">
              <w:marLeft w:val="0"/>
              <w:marRight w:val="0"/>
              <w:marTop w:val="0"/>
              <w:marBottom w:val="0"/>
              <w:divBdr>
                <w:top w:val="none" w:sz="0" w:space="0" w:color="auto"/>
                <w:left w:val="none" w:sz="0" w:space="0" w:color="auto"/>
                <w:bottom w:val="none" w:sz="0" w:space="0" w:color="auto"/>
                <w:right w:val="none" w:sz="0" w:space="0" w:color="auto"/>
              </w:divBdr>
              <w:divsChild>
                <w:div w:id="1367221874">
                  <w:marLeft w:val="0"/>
                  <w:marRight w:val="0"/>
                  <w:marTop w:val="0"/>
                  <w:marBottom w:val="0"/>
                  <w:divBdr>
                    <w:top w:val="none" w:sz="0" w:space="0" w:color="auto"/>
                    <w:left w:val="none" w:sz="0" w:space="0" w:color="auto"/>
                    <w:bottom w:val="none" w:sz="0" w:space="0" w:color="auto"/>
                    <w:right w:val="none" w:sz="0" w:space="0" w:color="auto"/>
                  </w:divBdr>
                  <w:divsChild>
                    <w:div w:id="93523064">
                      <w:marLeft w:val="150"/>
                      <w:marRight w:val="150"/>
                      <w:marTop w:val="0"/>
                      <w:marBottom w:val="0"/>
                      <w:divBdr>
                        <w:top w:val="none" w:sz="0" w:space="0" w:color="auto"/>
                        <w:left w:val="none" w:sz="0" w:space="0" w:color="auto"/>
                        <w:bottom w:val="none" w:sz="0" w:space="0" w:color="auto"/>
                        <w:right w:val="none" w:sz="0" w:space="0" w:color="auto"/>
                      </w:divBdr>
                      <w:divsChild>
                        <w:div w:id="1783189359">
                          <w:marLeft w:val="0"/>
                          <w:marRight w:val="0"/>
                          <w:marTop w:val="0"/>
                          <w:marBottom w:val="0"/>
                          <w:divBdr>
                            <w:top w:val="none" w:sz="0" w:space="0" w:color="auto"/>
                            <w:left w:val="none" w:sz="0" w:space="0" w:color="auto"/>
                            <w:bottom w:val="none" w:sz="0" w:space="0" w:color="auto"/>
                            <w:right w:val="none" w:sz="0" w:space="0" w:color="auto"/>
                          </w:divBdr>
                          <w:divsChild>
                            <w:div w:id="1211069327">
                              <w:marLeft w:val="0"/>
                              <w:marRight w:val="0"/>
                              <w:marTop w:val="0"/>
                              <w:marBottom w:val="0"/>
                              <w:divBdr>
                                <w:top w:val="none" w:sz="0" w:space="0" w:color="auto"/>
                                <w:left w:val="none" w:sz="0" w:space="0" w:color="auto"/>
                                <w:bottom w:val="none" w:sz="0" w:space="0" w:color="auto"/>
                                <w:right w:val="none" w:sz="0" w:space="0" w:color="auto"/>
                              </w:divBdr>
                              <w:divsChild>
                                <w:div w:id="356085696">
                                  <w:marLeft w:val="0"/>
                                  <w:marRight w:val="0"/>
                                  <w:marTop w:val="0"/>
                                  <w:marBottom w:val="0"/>
                                  <w:divBdr>
                                    <w:top w:val="none" w:sz="0" w:space="0" w:color="auto"/>
                                    <w:left w:val="none" w:sz="0" w:space="0" w:color="auto"/>
                                    <w:bottom w:val="none" w:sz="0" w:space="0" w:color="auto"/>
                                    <w:right w:val="none" w:sz="0" w:space="0" w:color="auto"/>
                                  </w:divBdr>
                                  <w:divsChild>
                                    <w:div w:id="1347050766">
                                      <w:marLeft w:val="0"/>
                                      <w:marRight w:val="150"/>
                                      <w:marTop w:val="0"/>
                                      <w:marBottom w:val="0"/>
                                      <w:divBdr>
                                        <w:top w:val="none" w:sz="0" w:space="0" w:color="auto"/>
                                        <w:left w:val="none" w:sz="0" w:space="0" w:color="auto"/>
                                        <w:bottom w:val="none" w:sz="0" w:space="0" w:color="auto"/>
                                        <w:right w:val="none" w:sz="0" w:space="0" w:color="auto"/>
                                      </w:divBdr>
                                      <w:divsChild>
                                        <w:div w:id="219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99321">
      <w:bodyDiv w:val="1"/>
      <w:marLeft w:val="0"/>
      <w:marRight w:val="0"/>
      <w:marTop w:val="0"/>
      <w:marBottom w:val="0"/>
      <w:divBdr>
        <w:top w:val="none" w:sz="0" w:space="0" w:color="auto"/>
        <w:left w:val="none" w:sz="0" w:space="0" w:color="auto"/>
        <w:bottom w:val="none" w:sz="0" w:space="0" w:color="auto"/>
        <w:right w:val="none" w:sz="0" w:space="0" w:color="auto"/>
      </w:divBdr>
    </w:div>
    <w:div w:id="1229456429">
      <w:bodyDiv w:val="1"/>
      <w:marLeft w:val="0"/>
      <w:marRight w:val="0"/>
      <w:marTop w:val="0"/>
      <w:marBottom w:val="0"/>
      <w:divBdr>
        <w:top w:val="none" w:sz="0" w:space="0" w:color="auto"/>
        <w:left w:val="none" w:sz="0" w:space="0" w:color="auto"/>
        <w:bottom w:val="none" w:sz="0" w:space="0" w:color="auto"/>
        <w:right w:val="none" w:sz="0" w:space="0" w:color="auto"/>
      </w:divBdr>
    </w:div>
    <w:div w:id="1948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gazgatosagok.mlsz.hu/wp-content/uploads/sites/6/2016/07/meg&#225;llapod&#225;s-minta-mukodesikoltsegterites.doc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sor_daniel\Documents\Lev&#233;lpap&#237;r\new%20Lev&#233;lpap&#237;r%20magyar%20ff.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0A6C-41DA-4F0A-A12A-973C7F30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Levélpapír magyar ff.dot</Template>
  <TotalTime>0</TotalTime>
  <Pages>3</Pages>
  <Words>685</Words>
  <Characters>4730</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LEvélpapír fekete-fehér (eng)</vt:lpstr>
      <vt:lpstr>LEvélpapír fekete-fehér (eng)</vt:lpstr>
    </vt:vector>
  </TitlesOfParts>
  <Company>Magyar Labdarúgó Szövetség</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LEvélpapír fekete-fehér (eng)</dc:title>
  <dc:creator>Dr. Ficsor Dániel</dc:creator>
  <cp:lastModifiedBy>GYMSLSZ1</cp:lastModifiedBy>
  <cp:revision>2</cp:revision>
  <cp:lastPrinted>2012-10-31T09:48:00Z</cp:lastPrinted>
  <dcterms:created xsi:type="dcterms:W3CDTF">2016-07-19T13:42:00Z</dcterms:created>
  <dcterms:modified xsi:type="dcterms:W3CDTF">2016-07-19T13:42:00Z</dcterms:modified>
</cp:coreProperties>
</file>