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E4" w:rsidRDefault="00DA14E4" w:rsidP="00DA14E4">
      <w:pPr>
        <w:spacing w:before="120" w:after="12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ar-SA"/>
        </w:rPr>
      </w:pPr>
      <w:r w:rsidRPr="00DA14E4">
        <w:rPr>
          <w:rFonts w:ascii="Times New Roman" w:hAnsi="Times New Roman"/>
          <w:b/>
          <w:color w:val="000000"/>
          <w:sz w:val="24"/>
          <w:szCs w:val="24"/>
          <w:u w:val="single"/>
          <w:lang w:eastAsia="ar-SA"/>
        </w:rPr>
        <w:t xml:space="preserve">ÖSSZEFOGLALÓ </w:t>
      </w:r>
    </w:p>
    <w:p w:rsidR="00DA14E4" w:rsidRPr="00DA14E4" w:rsidRDefault="00DA14E4" w:rsidP="00DA14E4">
      <w:pPr>
        <w:spacing w:before="120" w:after="12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ar-SA"/>
        </w:rPr>
      </w:pPr>
    </w:p>
    <w:p w:rsidR="00DA14E4" w:rsidRPr="00DA14E4" w:rsidRDefault="00DA14E4" w:rsidP="00DA14E4">
      <w:pPr>
        <w:spacing w:before="120" w:after="12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proofErr w:type="gramStart"/>
      <w:r w:rsidRPr="00DA14E4">
        <w:rPr>
          <w:rFonts w:ascii="Times New Roman" w:hAnsi="Times New Roman"/>
          <w:b/>
          <w:color w:val="000000"/>
          <w:sz w:val="24"/>
          <w:szCs w:val="24"/>
          <w:lang w:eastAsia="ar-SA"/>
        </w:rPr>
        <w:t>a</w:t>
      </w:r>
      <w:proofErr w:type="gramEnd"/>
      <w:r w:rsidRPr="00DA14E4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Pr="00DA14E4">
        <w:rPr>
          <w:rFonts w:ascii="Times New Roman" w:hAnsi="Times New Roman"/>
          <w:b/>
          <w:color w:val="000000"/>
          <w:sz w:val="24"/>
          <w:szCs w:val="24"/>
          <w:lang w:eastAsia="ar-SA"/>
        </w:rPr>
        <w:t>107/2011. (VI.30.) Korm. rendelet módosításáról szóló</w:t>
      </w:r>
      <w:r w:rsidRPr="00DA14E4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96/2016. (V.2.) Korm. rendeletről</w:t>
      </w:r>
    </w:p>
    <w:p w:rsidR="00DA14E4" w:rsidRDefault="00DA14E4" w:rsidP="00DA14E4">
      <w:pPr>
        <w:spacing w:before="120" w:after="1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A14E4" w:rsidRDefault="00DA14E4" w:rsidP="00DA14E4">
      <w:pPr>
        <w:spacing w:before="120" w:after="1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15789" w:rsidRDefault="00615789" w:rsidP="00DA14E4">
      <w:pPr>
        <w:spacing w:before="120" w:after="1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A látvány-csapatsport támogatását biztosító támogatási igazolás kiállításáról, felhasználásáról, a támogatás elszámolásának és ellenőrzésének, valamint visszafizetésének szabályairól szóló 107/2011. (VI. 30.) Korm. rendelet (a továbbiakban: Rendelet) módosítása a látvány-csapatsportok támogatásával kapcsolatban a gyakorlatban jelentkező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értelmezési és egyéb adminisztrációs problémák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kezelésére irányul, valamint kiterjeszti a Rendelet hatályát a társasági adóról és az osztalékadóról szóló 1996. évi LXXXI. törvény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24/A. §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szerinti támogatásokra. A Rendelet-módosítás biztosítja az összhangot a társasági adóról és az osztalékadóról szóló 1996. évi LXXXI. törvény és a sportról szóló 2004. évi I. törvény módosításáról szóló a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T/9621. számon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az Országgyűlésnek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benyújtott és 2016. március 30-án elfogadott törvényjavaslat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nak a közigazgatási hatósági eljárás és szolgáltatás általános szabályairól szóló 2004. évi. CXL törvény (a továbbiakban: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Ket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.) ügyintézési határidővel összefüggő módosító javaslataival. </w:t>
      </w:r>
    </w:p>
    <w:p w:rsidR="00615789" w:rsidRDefault="00615789" w:rsidP="00DA14E4">
      <w:pPr>
        <w:spacing w:before="120" w:after="1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615789" w:rsidRDefault="00615789" w:rsidP="00DA14E4">
      <w:pPr>
        <w:spacing w:before="120" w:after="1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A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képzéssel összefüggő feladatok támogatása jogcím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et érintő módosítás részben az elszámolható költségek körét érinti, részben az uniós jogszabályok változása miatt indokolt.</w:t>
      </w:r>
    </w:p>
    <w:p w:rsidR="00615789" w:rsidRDefault="00615789" w:rsidP="00DA14E4">
      <w:pPr>
        <w:spacing w:before="120" w:after="1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15789" w:rsidRDefault="00615789" w:rsidP="00DA14E4">
      <w:pPr>
        <w:spacing w:before="120" w:after="1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A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tárgyi eszköz beruházás, felújítás jogcímet érintő módosítás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sal az elektronikus kapcsolattartással összefüggő, illetve sportszakmai okból felmerülő szoftverfejlesztés, szoftvervásárlás engedélyezhetővé válik, biztosítva az elektronikus kapcsolattartás törvényben meghatározott szabályainak való megfelelést, valamint a megnövekedett adminisztrációs tevékenységek megkönnyítését szolgáló feltételek megteremtését.</w:t>
      </w:r>
    </w:p>
    <w:p w:rsidR="00615789" w:rsidRDefault="00615789" w:rsidP="00DA14E4">
      <w:pPr>
        <w:spacing w:before="120" w:after="1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15789" w:rsidRDefault="00615789" w:rsidP="00DA14E4">
      <w:pPr>
        <w:spacing w:before="120" w:after="1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A jelenleg hatályos Rendeletben az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utánpótlás-korú versenyzők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fogalma alapján a versenykiírás sok esetben megengedi a túlkorosok korlátozott számú szereplését, azonban a csapatköltségek elszámolhatóságának jobb nyomon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követése miatt nem javasolt különbséget tenni a csapat játékosai közt.</w:t>
      </w:r>
    </w:p>
    <w:p w:rsidR="00615789" w:rsidRDefault="00615789" w:rsidP="00DA14E4">
      <w:pPr>
        <w:spacing w:before="120" w:after="1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15789" w:rsidRDefault="00615789" w:rsidP="00DA14E4">
      <w:pPr>
        <w:spacing w:before="120" w:after="1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A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versenyeztetéssel összefüggő feladatok támogatása jogcím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esetén a hatályos jogszabály szerint a díjköltségek, kiadások (pl. játékvezetőkkel kapcsolatos költségek) a szakszövetség részére kerülnek megfizetésre, a módosítással ezek a szakszövetség mellőzésével, közvetlen kifizetésekkel megvalósulhatnak. </w:t>
      </w:r>
    </w:p>
    <w:p w:rsidR="00615789" w:rsidRDefault="00615789" w:rsidP="00DA14E4">
      <w:pPr>
        <w:spacing w:before="120" w:after="1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15789" w:rsidRDefault="00615789" w:rsidP="00DA14E4">
      <w:pPr>
        <w:spacing w:before="120" w:after="1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A módosítás jogszabályi szintre emeli az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elszámolási útmutatót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, ami az eljárások mellett tartalmazza a benchmarkokat és kötelező jelleggel bír a támogatottak részére.</w:t>
      </w:r>
    </w:p>
    <w:p w:rsidR="00615789" w:rsidRDefault="00615789" w:rsidP="00DA14E4">
      <w:pPr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15789" w:rsidRDefault="00615789" w:rsidP="00DA14E4">
      <w:pPr>
        <w:spacing w:before="120" w:after="120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jogalkalmazási tapasztalatok alapján a </w:t>
      </w:r>
      <w:r>
        <w:rPr>
          <w:rFonts w:ascii="Times New Roman" w:hAnsi="Times New Roman"/>
          <w:b/>
          <w:bCs/>
          <w:sz w:val="24"/>
          <w:szCs w:val="24"/>
        </w:rPr>
        <w:t>közreműködési költség elszámolása</w:t>
      </w:r>
      <w:r>
        <w:rPr>
          <w:rFonts w:ascii="Times New Roman" w:hAnsi="Times New Roman"/>
          <w:sz w:val="24"/>
          <w:szCs w:val="24"/>
        </w:rPr>
        <w:t xml:space="preserve"> esetében a korábbi 75%-os szabály eltörlése az elszámolható közreműködési költségek szigorítását eredményezi, tekintettel arra, hogy a korábbi szabályozással ellentétben, minden esetben a jogszerűen felhasznált támogatás 2%-a számolható el.</w:t>
      </w:r>
    </w:p>
    <w:p w:rsidR="00615789" w:rsidRDefault="00615789" w:rsidP="00DA14E4">
      <w:pPr>
        <w:spacing w:before="120" w:after="1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15789" w:rsidRDefault="00615789" w:rsidP="00DA14E4">
      <w:pPr>
        <w:spacing w:before="120" w:after="1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 xml:space="preserve">A módosítás pontosítja az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ellenőrzési feladatok ellátásával összefüggő költségek utalásának szabályai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t, tekintettel arra, hogy az ellenőrzési feladatok ellátásával összefüggő költséget a MOB támogatása esetén az adóhatóság teljes egészében a sportpolitikáért felelős miniszter által vezetett minisztérium által közzétett fizetési számlára fizeti meg, az nem osztható meg 1/3-2/3 részre.</w:t>
      </w:r>
    </w:p>
    <w:p w:rsidR="00615789" w:rsidRDefault="00615789" w:rsidP="00DA14E4">
      <w:pPr>
        <w:spacing w:before="120" w:after="1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15789" w:rsidRDefault="00615789" w:rsidP="00DA14E4">
      <w:pPr>
        <w:spacing w:before="120" w:after="1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Ket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általános ügyintézési határidő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re vonatkozó rendelkezéseinek 2016. január 1-től hatályos módosításával összhangban a korábban kormányrendeleti szinten rögzített 21 napnál hosszabb ügyintézési határidőket a T/9621. számon benyújtott és elfogadott törvényjavaslat alapján a sportról szóló 2004. évi I. törvény (a továbbiakban: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Stv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.)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rögzíti, ezért a Rendelet vonatkozó rendelkezései is ennek megfelelően módosulnak. Az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Stv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22. § (7) és 51. § (5) bekezdései alapján a látvány-csapatsportban működő szakszövetségnek a sportfejlesztési program jóváhagyásáról a kérelem beérkezésétől számított 120 napon belül kell döntést hoznia, a sportfejlesztési program módosítására, illetve meghosszabbítására irányuló kérelem elbírálásának határideje 60 nap. </w:t>
      </w:r>
    </w:p>
    <w:p w:rsidR="00615789" w:rsidRDefault="00615789" w:rsidP="00DA14E4">
      <w:pPr>
        <w:spacing w:before="120" w:after="1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A módosító javaslat alapján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hiánypótlásra felhívás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ra a sportfejlesztési program jóváhagyására nyitva álló 120 napos ügyintézési határidőn belül bármikor lehetőség van. A korábbi 15 napos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hiánypótlási határidő 30 napra emelkedik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illetve ha a kérelem olyan sportcélú ingatlan-fejlesztést érintő tárgyi eszköz beruházásra, felújításra irányul, amely a Rendelet alapján utófinanszírozottnak minősül, a hiánypótlási határidő a támogatás igénybevételére jogosult szervezetet kérelmére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egy alkalommal 90 nappal meghosszabbítható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615789" w:rsidRDefault="00615789" w:rsidP="00DA14E4">
      <w:pPr>
        <w:spacing w:before="120" w:after="1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15789" w:rsidRDefault="00615789" w:rsidP="00DA14E4">
      <w:pPr>
        <w:spacing w:before="120" w:after="1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Pontosításra és egyben egyszerűsítésre kerül a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könyvvizsgálói hitelesítés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feladatának ellátása. A sportfejlesztési programok során keletkező nagyszámú számlák jelentősen megnövelik a könyvvizsgálat idejét, amennyiben valamennyi elszámolandó számlát a könyvvizsgálónak eredetben hitelesítenie kell. Ugyanakkor a Magyar Könyvvizsgálói Kamaráról, a könyvvizsgálói tevékenységről, valamint a könyvvizsgálói közfelügyeletről szóló 2007. évi LXXV. törvény lehetővé teszi a könyvvizsgálói összesítő lap hitelesítésével és könyvvizsgálói jelentés megküldésével a könyvvizsgálói tevékenység hiteles elvégzését.</w:t>
      </w:r>
    </w:p>
    <w:p w:rsidR="00615789" w:rsidRDefault="00615789" w:rsidP="00DA14E4">
      <w:pPr>
        <w:spacing w:before="120" w:after="1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15789" w:rsidRDefault="00615789" w:rsidP="00DA14E4">
      <w:pPr>
        <w:spacing w:before="120" w:after="1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A módosítás érinti a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kamat mértékének számítását és alsó értékhatárának (ezer forint) meghatározását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is. Az elszámolások ellenőrzésének elhúzódása miatt indokolt a visszafizetési kötelezettség megállapításához kapcsolódó kamat mérték számításának határnapját méltányos keretek között meghatározni. Ehhez az elvhez kapcsolódik a visszafizetési kötelezettséget keletkeztető összeg alsó értékhatárának (ezer forint) rögzítése is.</w:t>
      </w:r>
    </w:p>
    <w:p w:rsidR="00615789" w:rsidRDefault="00615789" w:rsidP="00DA14E4">
      <w:pPr>
        <w:spacing w:before="120" w:after="1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15789" w:rsidRDefault="00615789" w:rsidP="00DA14E4">
      <w:pPr>
        <w:spacing w:before="120" w:after="1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Több építési, bővítési beruházást végző sportszervezet jelzése alapján mérlegelendő volt a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hosszabbítás, módosítás tárgykörben bevezetett korlátozás feloldása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, mert a beruházást megalapozó eljárások (tervezés, engedélyezés) elhúzódása, valamint az időjárási tényezőkre tekintettel egy év csak az előkészületekre elegendő, így a tervezett beruházás kivitelezése és egyben a program megvalósíthatósága megköveteli a hosszabb támogatási időszak szükség szerinti biztosítását. A hosszabbítás megengedésével együtt a hosszabbított időszakban történő módosítások lehetőségének megnyitása is bekerült a módosításba a Magyar Labdarúgó Szövetség által tett javaslat alapján.</w:t>
      </w:r>
    </w:p>
    <w:p w:rsidR="00615789" w:rsidRDefault="00615789" w:rsidP="00DA14E4">
      <w:pPr>
        <w:spacing w:before="120" w:after="1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15789" w:rsidRDefault="00615789" w:rsidP="00DA14E4">
      <w:pPr>
        <w:spacing w:before="120" w:after="1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A támogatott szervezet látvány-csapatsport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támogatásból kizárás</w:t>
      </w:r>
      <w:r>
        <w:rPr>
          <w:rFonts w:ascii="Times New Roman" w:hAnsi="Times New Roman"/>
          <w:sz w:val="24"/>
          <w:szCs w:val="24"/>
          <w:lang w:eastAsia="ar-SA"/>
        </w:rPr>
        <w:t xml:space="preserve">ára jelenleg a szabálytalan támogatás befizetésétől van lehetőség, azonban javasolt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a szabálytalanság megállapításától</w:t>
      </w:r>
      <w:r>
        <w:rPr>
          <w:rFonts w:ascii="Times New Roman" w:hAnsi="Times New Roman"/>
          <w:sz w:val="24"/>
          <w:szCs w:val="24"/>
          <w:lang w:eastAsia="ar-SA"/>
        </w:rPr>
        <w:t xml:space="preserve"> erre lehetőséget teremteni.</w:t>
      </w:r>
    </w:p>
    <w:p w:rsidR="00615789" w:rsidRDefault="00615789" w:rsidP="00DA14E4">
      <w:pPr>
        <w:spacing w:before="120" w:after="1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A14E4" w:rsidRDefault="00615789" w:rsidP="00DA14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rendeletmódosítás további olyan, a Támogatásokat Vizsgáló Iroda által tett észrevételeket is tartalmaz, melyek átvezetése a vonatkozó </w:t>
      </w:r>
      <w:r>
        <w:rPr>
          <w:rFonts w:ascii="Times New Roman" w:hAnsi="Times New Roman"/>
          <w:b/>
          <w:bCs/>
          <w:sz w:val="24"/>
          <w:szCs w:val="24"/>
        </w:rPr>
        <w:t>uniós jogszabályok változásai</w:t>
      </w:r>
      <w:r>
        <w:rPr>
          <w:rFonts w:ascii="Times New Roman" w:hAnsi="Times New Roman"/>
          <w:sz w:val="24"/>
          <w:szCs w:val="24"/>
        </w:rPr>
        <w:t xml:space="preserve"> miatt váltak szükségessé</w:t>
      </w:r>
      <w:bookmarkStart w:id="1" w:name="pr2"/>
      <w:bookmarkEnd w:id="1"/>
      <w:r>
        <w:rPr>
          <w:rFonts w:ascii="Times New Roman" w:hAnsi="Times New Roman"/>
          <w:sz w:val="24"/>
          <w:szCs w:val="24"/>
        </w:rPr>
        <w:t>.</w:t>
      </w:r>
    </w:p>
    <w:p w:rsidR="00DA14E4" w:rsidRDefault="00DA14E4" w:rsidP="00615789">
      <w:pPr>
        <w:rPr>
          <w:rFonts w:ascii="Times New Roman" w:hAnsi="Times New Roman"/>
          <w:sz w:val="24"/>
          <w:szCs w:val="24"/>
        </w:rPr>
      </w:pPr>
    </w:p>
    <w:p w:rsidR="00DA14E4" w:rsidRDefault="00DA14E4" w:rsidP="006157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2016. május 3.</w:t>
      </w:r>
    </w:p>
    <w:p w:rsidR="00DA14E4" w:rsidRDefault="00DA14E4" w:rsidP="00DA14E4">
      <w:pPr>
        <w:jc w:val="right"/>
        <w:rPr>
          <w:rFonts w:ascii="Times New Roman" w:hAnsi="Times New Roman"/>
          <w:sz w:val="24"/>
          <w:szCs w:val="24"/>
        </w:rPr>
      </w:pPr>
    </w:p>
    <w:p w:rsidR="00DA14E4" w:rsidRDefault="00DA14E4" w:rsidP="00DA14E4">
      <w:pPr>
        <w:jc w:val="right"/>
        <w:rPr>
          <w:rFonts w:ascii="Calibri" w:hAnsi="Calibri"/>
          <w:color w:val="1F497D"/>
        </w:rPr>
      </w:pPr>
      <w:r>
        <w:rPr>
          <w:rFonts w:ascii="Times New Roman" w:hAnsi="Times New Roman"/>
          <w:sz w:val="24"/>
          <w:szCs w:val="24"/>
        </w:rPr>
        <w:t>TAO Ellenőrzési Osztály</w:t>
      </w:r>
    </w:p>
    <w:p w:rsidR="00615789" w:rsidRDefault="00615789"/>
    <w:sectPr w:rsidR="0061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89"/>
    <w:rsid w:val="00366761"/>
    <w:rsid w:val="00615789"/>
    <w:rsid w:val="00DA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5281D-EA76-4141-9708-2976D27D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835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Katalin</dc:creator>
  <cp:keywords/>
  <dc:description/>
  <cp:lastModifiedBy>Szalai Katalin</cp:lastModifiedBy>
  <cp:revision>1</cp:revision>
  <dcterms:created xsi:type="dcterms:W3CDTF">2016-05-19T05:42:00Z</dcterms:created>
  <dcterms:modified xsi:type="dcterms:W3CDTF">2016-05-19T08:04:00Z</dcterms:modified>
</cp:coreProperties>
</file>