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CSONGRÁD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E33B4E" w:rsidRDefault="00E33B4E" w:rsidP="00191468">
      <w:pPr>
        <w:jc w:val="center"/>
        <w:rPr>
          <w:rFonts w:ascii="Verdana" w:hAnsi="Verdana"/>
          <w:b/>
          <w:sz w:val="44"/>
          <w:szCs w:val="44"/>
        </w:rPr>
      </w:pPr>
    </w:p>
    <w:p w:rsidR="00466914" w:rsidRPr="00E33B4E" w:rsidRDefault="00F3297E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 Női Felnőtt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466914" w:rsidRDefault="000051A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F3297E">
        <w:rPr>
          <w:rFonts w:ascii="Verdana" w:hAnsi="Verdana"/>
          <w:b/>
          <w:sz w:val="28"/>
          <w:szCs w:val="28"/>
        </w:rPr>
        <w:t>Női felnőtt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1AE" w:rsidRPr="00E33B4E">
        <w:rPr>
          <w:rFonts w:ascii="Verdana" w:hAnsi="Verdana"/>
          <w:b/>
          <w:sz w:val="28"/>
          <w:szCs w:val="28"/>
        </w:rPr>
        <w:t>2016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</w:t>
      </w:r>
      <w:proofErr w:type="gramStart"/>
      <w:r>
        <w:rPr>
          <w:rFonts w:ascii="Verdana" w:hAnsi="Verdana"/>
        </w:rPr>
        <w:t>…………………………………………………………</w:t>
      </w:r>
      <w:proofErr w:type="gramEnd"/>
      <w:r>
        <w:rPr>
          <w:rFonts w:ascii="Verdana" w:hAnsi="Verdana"/>
        </w:rPr>
        <w:t>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>
        <w:rPr>
          <w:rFonts w:ascii="Verdana" w:hAnsi="Verdana"/>
          <w:u w:val="dotted"/>
        </w:rPr>
        <w:t xml:space="preserve">Csongrád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2016</w:t>
      </w:r>
      <w:r>
        <w:rPr>
          <w:rFonts w:ascii="Verdana" w:hAnsi="Verdana"/>
        </w:rPr>
        <w:t>.</w:t>
      </w:r>
      <w:r w:rsidR="00F3297E">
        <w:rPr>
          <w:rFonts w:ascii="Verdana" w:hAnsi="Verdana"/>
        </w:rPr>
        <w:t xml:space="preserve"> évi női felnőtt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F3297E">
        <w:rPr>
          <w:rFonts w:ascii="Verdana" w:hAnsi="Verdana"/>
        </w:rPr>
        <w:t>(továbbiakban: női felnőtt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F3297E">
        <w:rPr>
          <w:rFonts w:ascii="Verdana" w:hAnsi="Verdana"/>
        </w:rPr>
        <w:t xml:space="preserve"> női felnőtt</w:t>
      </w:r>
      <w:r w:rsidRPr="00005BE4">
        <w:rPr>
          <w:rFonts w:ascii="Verdana" w:hAnsi="Verdana"/>
        </w:rPr>
        <w:t xml:space="preserve"> versenyben. </w:t>
      </w:r>
    </w:p>
    <w:p w:rsidR="0046691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 női felnőtt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Pr="00005BE4" w:rsidRDefault="00F3297E" w:rsidP="00F3297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C) A női felnőtt</w:t>
      </w:r>
      <w:r w:rsidR="00466914" w:rsidRPr="00005BE4">
        <w:rPr>
          <w:rFonts w:ascii="Verdana" w:hAnsi="Verdana"/>
        </w:rPr>
        <w:t xml:space="preserve"> versenyben résztvevő csapatok teljesítmény sorre</w:t>
      </w:r>
      <w:r>
        <w:rPr>
          <w:rFonts w:ascii="Verdana" w:hAnsi="Verdana"/>
        </w:rPr>
        <w:t>ndjének objektív megállapítása.</w:t>
      </w:r>
    </w:p>
    <w:p w:rsidR="00466914" w:rsidRPr="00005BE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F3297E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</w:t>
      </w:r>
      <w:proofErr w:type="spellStart"/>
      <w:r w:rsidRPr="00005BE4">
        <w:rPr>
          <w:rFonts w:ascii="Verdana" w:hAnsi="Verdana"/>
        </w:rPr>
        <w:t>A</w:t>
      </w:r>
      <w:proofErr w:type="spellEnd"/>
      <w:r w:rsidRPr="00005BE4">
        <w:rPr>
          <w:rFonts w:ascii="Verdana" w:hAnsi="Verdana"/>
        </w:rPr>
        <w:t xml:space="preserve">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Pr="00A8583F">
        <w:rPr>
          <w:rFonts w:ascii="Verdana" w:hAnsi="Verdana"/>
          <w:b/>
          <w:highlight w:val="yellow"/>
        </w:rPr>
        <w:t>50.000 Ft</w:t>
      </w:r>
      <w:r w:rsidR="002945F3">
        <w:rPr>
          <w:rFonts w:ascii="Verdana" w:hAnsi="Verdana"/>
          <w:b/>
        </w:rPr>
        <w:t xml:space="preserve"> (Amelynek 1</w:t>
      </w:r>
      <w:r w:rsidR="00A8583F">
        <w:rPr>
          <w:rFonts w:ascii="Verdana" w:hAnsi="Verdana"/>
          <w:b/>
        </w:rPr>
        <w:t>0%-át kell befizetni)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3297E" w:rsidRDefault="00F3297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3297E" w:rsidRDefault="00F3297E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lastRenderedPageBreak/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>
        <w:rPr>
          <w:rFonts w:ascii="Verdana" w:hAnsi="Verdana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5227DE">
        <w:rPr>
          <w:rFonts w:ascii="Verdana" w:hAnsi="Verdana"/>
          <w:b/>
        </w:rPr>
        <w:t>201</w:t>
      </w:r>
      <w:r w:rsidR="000051AE">
        <w:rPr>
          <w:rFonts w:ascii="Verdana" w:hAnsi="Verdana"/>
          <w:b/>
        </w:rPr>
        <w:t>6</w:t>
      </w:r>
      <w:r w:rsidR="00CA4833">
        <w:rPr>
          <w:rFonts w:ascii="Verdana" w:hAnsi="Verdana"/>
          <w:b/>
        </w:rPr>
        <w:t>.05.30</w:t>
      </w:r>
      <w:r>
        <w:rPr>
          <w:rFonts w:ascii="Verdana" w:hAnsi="Verdana"/>
          <w:b/>
        </w:rPr>
        <w:t xml:space="preserve">. </w:t>
      </w:r>
      <w:r w:rsidRPr="005227DE">
        <w:rPr>
          <w:rFonts w:ascii="Verdana" w:hAnsi="Verdana"/>
          <w:b/>
        </w:rPr>
        <w:t>12.00 óráig</w:t>
      </w:r>
      <w:r w:rsidRPr="00B2437E">
        <w:rPr>
          <w:rFonts w:ascii="Verdana" w:hAnsi="Verdana"/>
        </w:rPr>
        <w:t xml:space="preserve"> kell érkeztetni az MLSZ </w:t>
      </w:r>
      <w:r>
        <w:rPr>
          <w:rFonts w:ascii="Verdana" w:hAnsi="Verdana"/>
        </w:rPr>
        <w:t xml:space="preserve">Csongrád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466914" w:rsidRPr="00B2437E" w:rsidRDefault="00466914" w:rsidP="005227DE">
      <w:pPr>
        <w:spacing w:after="0" w:line="360" w:lineRule="auto"/>
        <w:ind w:left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B2437E">
        <w:rPr>
          <w:rFonts w:ascii="Verdana" w:hAnsi="Verdana"/>
        </w:rPr>
        <w:t xml:space="preserve">12.00 óra </w:t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>Ver</w:t>
      </w:r>
      <w:r>
        <w:rPr>
          <w:rFonts w:ascii="Verdana" w:hAnsi="Verdana"/>
        </w:rPr>
        <w:t>senybizottság I. fokú határozat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013882" w:rsidRDefault="00466914" w:rsidP="005227DE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 w:rsidRPr="00B2437E"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D)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bajnoki év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1-jén kezdődik és 201</w:t>
      </w:r>
      <w:r w:rsidR="000051AE">
        <w:rPr>
          <w:rFonts w:ascii="Verdana" w:hAnsi="Verdana"/>
        </w:rPr>
        <w:t>6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466914">
        <w:rPr>
          <w:rFonts w:ascii="Verdana" w:hAnsi="Verdana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4020F6">
        <w:rPr>
          <w:rFonts w:ascii="Verdana" w:hAnsi="Verdana"/>
        </w:rPr>
        <w:t xml:space="preserve"> Strandlabdarúgó szezon: 2016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1F4C4B">
        <w:rPr>
          <w:rFonts w:ascii="Verdana" w:hAnsi="Verdana"/>
        </w:rPr>
        <w:t>0</w:t>
      </w:r>
      <w:r w:rsidR="00466914">
        <w:rPr>
          <w:rFonts w:ascii="Verdana" w:hAnsi="Verdana"/>
        </w:rPr>
        <w:t>1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</w:t>
      </w:r>
      <w:proofErr w:type="spellStart"/>
      <w:r w:rsidR="00466914" w:rsidRPr="00B2437E">
        <w:rPr>
          <w:rFonts w:ascii="Verdana" w:hAnsi="Verdana"/>
        </w:rPr>
        <w:t>-ig</w:t>
      </w:r>
      <w:proofErr w:type="spellEnd"/>
      <w:r w:rsidR="00466914" w:rsidRPr="00B2437E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C43807" w:rsidRDefault="00C43807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8E527E" w:rsidRPr="00B2437E" w:rsidRDefault="008E527E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proofErr w:type="spellStart"/>
      <w:r w:rsidRPr="00B2437E">
        <w:rPr>
          <w:rFonts w:ascii="Verdana" w:hAnsi="Verdana"/>
        </w:rPr>
        <w:t>A</w:t>
      </w:r>
      <w:proofErr w:type="spellEnd"/>
      <w:r w:rsidRPr="00B2437E">
        <w:rPr>
          <w:rFonts w:ascii="Verdana" w:hAnsi="Verdana"/>
        </w:rPr>
        <w:t xml:space="preserve">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</w:t>
      </w:r>
      <w:proofErr w:type="spellStart"/>
      <w:r w:rsidR="00C440B2" w:rsidRPr="00C440B2">
        <w:rPr>
          <w:rFonts w:ascii="Verdana" w:hAnsi="Verdana"/>
        </w:rPr>
        <w:t>összpontszámok</w:t>
      </w:r>
      <w:proofErr w:type="spellEnd"/>
      <w:r w:rsidR="00C440B2" w:rsidRPr="00C440B2">
        <w:rPr>
          <w:rFonts w:ascii="Verdana" w:hAnsi="Verdana"/>
        </w:rPr>
        <w:t xml:space="preserve">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proofErr w:type="spellStart"/>
      <w:r w:rsidRPr="000E4BC5">
        <w:rPr>
          <w:rFonts w:ascii="Verdana" w:hAnsi="Verdana"/>
        </w:rPr>
        <w:t>A</w:t>
      </w:r>
      <w:proofErr w:type="spellEnd"/>
      <w:r w:rsidRPr="000E4BC5">
        <w:rPr>
          <w:rFonts w:ascii="Verdana" w:hAnsi="Verdana"/>
        </w:rPr>
        <w:t xml:space="preserve">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C)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 mérkőzések játékvezetői költsége</w:t>
      </w:r>
      <w:r w:rsidR="002945F3">
        <w:rPr>
          <w:rFonts w:ascii="Verdana" w:hAnsi="Verdana"/>
        </w:rPr>
        <w:t>i a sportszervezeteket terhelik, amely TAO támogatott.</w:t>
      </w:r>
      <w:r w:rsidRPr="000E4BC5">
        <w:rPr>
          <w:rFonts w:ascii="Verdana" w:hAnsi="Verdana"/>
        </w:rPr>
        <w:t xml:space="preserve"> </w:t>
      </w:r>
      <w:bookmarkStart w:id="0" w:name="_Toc135544211"/>
      <w:bookmarkStart w:id="1" w:name="_Toc288142226"/>
      <w:bookmarkStart w:id="2" w:name="_Toc387916922"/>
      <w:bookmarkStart w:id="3" w:name="_Toc387916923"/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</w:t>
      </w:r>
      <w:proofErr w:type="spellStart"/>
      <w:r w:rsidRPr="000E4BC5">
        <w:rPr>
          <w:rFonts w:ascii="Verdana" w:hAnsi="Verdana"/>
          <w:sz w:val="22"/>
          <w:szCs w:val="22"/>
          <w:u w:val="single"/>
        </w:rPr>
        <w:t>Unió-beli</w:t>
      </w:r>
      <w:proofErr w:type="spellEnd"/>
      <w:r w:rsidRPr="000E4BC5">
        <w:rPr>
          <w:rFonts w:ascii="Verdana" w:hAnsi="Verdana"/>
          <w:sz w:val="22"/>
          <w:szCs w:val="22"/>
          <w:u w:val="single"/>
        </w:rPr>
        <w:t xml:space="preserve">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466914" w:rsidRPr="000E4BC5" w:rsidRDefault="00466914" w:rsidP="002945F3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523508">
        <w:t>6</w:t>
      </w:r>
      <w:r w:rsidRPr="000E4BC5">
        <w:t>. június 27. és 201</w:t>
      </w:r>
      <w:r w:rsidR="00523508">
        <w:t>6.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</w:t>
      </w:r>
      <w:proofErr w:type="spellStart"/>
      <w:r w:rsidRPr="000E4BC5">
        <w:t>Szakágvezető</w:t>
      </w:r>
      <w:proofErr w:type="spellEnd"/>
      <w:r w:rsidRPr="000E4BC5">
        <w:t xml:space="preserve">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>A bajnokságban résztvevő csapatok – figyelemmel a nemzetközi és a hazai kupaküzdelmekre is – egy nap maximum 2 mérkőzés lejátszására kötelezhetők.</w:t>
      </w:r>
    </w:p>
    <w:p w:rsidR="00495461" w:rsidRPr="00495461" w:rsidRDefault="00F3297E" w:rsidP="00495461">
      <w:pPr>
        <w:pStyle w:val="Cmsor5"/>
        <w:rPr>
          <w:b/>
          <w:sz w:val="28"/>
          <w:szCs w:val="28"/>
        </w:rPr>
      </w:pPr>
      <w:r>
        <w:rPr>
          <w:b/>
          <w:sz w:val="28"/>
          <w:szCs w:val="28"/>
        </w:rPr>
        <w:t>Alsó korhatár: naptári napra betöltött 14 életév.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2945F3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női </w:t>
      </w:r>
      <w:r w:rsidR="00466914"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466914" w:rsidRPr="00FC1AE0">
        <w:rPr>
          <w:rFonts w:ascii="Verdana" w:hAnsi="Verdana"/>
          <w:b/>
          <w:sz w:val="22"/>
          <w:szCs w:val="22"/>
        </w:rPr>
        <w:t>1</w:t>
      </w:r>
      <w:r w:rsidR="00F3297E">
        <w:rPr>
          <w:rFonts w:ascii="Verdana" w:hAnsi="Verdana"/>
          <w:b/>
          <w:sz w:val="22"/>
          <w:szCs w:val="22"/>
        </w:rPr>
        <w:t>4</w:t>
      </w:r>
      <w:r w:rsidR="006D4E6A">
        <w:rPr>
          <w:rFonts w:ascii="Verdana" w:hAnsi="Verdana"/>
          <w:sz w:val="22"/>
          <w:szCs w:val="22"/>
        </w:rPr>
        <w:t xml:space="preserve"> </w:t>
      </w:r>
      <w:r w:rsidR="00E65730">
        <w:rPr>
          <w:rFonts w:ascii="Verdana" w:hAnsi="Verdana"/>
          <w:b/>
        </w:rPr>
        <w:t>életévet</w:t>
      </w:r>
      <w:r w:rsidR="00E65730">
        <w:rPr>
          <w:rFonts w:ascii="Verdana" w:hAnsi="Verdana"/>
        </w:rPr>
        <w:t xml:space="preserve"> naptári napra betöltött labdarúgó játszhat.</w:t>
      </w:r>
      <w:bookmarkStart w:id="12" w:name="_GoBack"/>
      <w:bookmarkEnd w:id="12"/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bajnokságban a FIFA STRANDLABDARÚGÁS játékára vonatkozó szabályok érvényesek.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</w:t>
      </w:r>
      <w:proofErr w:type="spellStart"/>
      <w:r w:rsidRPr="000E4BC5">
        <w:rPr>
          <w:rFonts w:ascii="Verdana" w:hAnsi="Verdana"/>
          <w:sz w:val="22"/>
          <w:szCs w:val="22"/>
        </w:rPr>
        <w:t>Laws</w:t>
      </w:r>
      <w:proofErr w:type="spellEnd"/>
      <w:r w:rsidRPr="000E4BC5">
        <w:rPr>
          <w:rFonts w:ascii="Verdana" w:hAnsi="Verdana"/>
          <w:sz w:val="22"/>
          <w:szCs w:val="22"/>
        </w:rPr>
        <w:t xml:space="preserve"> of </w:t>
      </w:r>
      <w:proofErr w:type="spellStart"/>
      <w:r w:rsidRPr="000E4BC5">
        <w:rPr>
          <w:rFonts w:ascii="Verdana" w:hAnsi="Verdana"/>
          <w:sz w:val="22"/>
          <w:szCs w:val="22"/>
        </w:rPr>
        <w:t>the</w:t>
      </w:r>
      <w:proofErr w:type="spellEnd"/>
      <w:r w:rsidRPr="000E4BC5">
        <w:rPr>
          <w:rFonts w:ascii="Verdana" w:hAnsi="Verdana"/>
          <w:sz w:val="22"/>
          <w:szCs w:val="22"/>
        </w:rPr>
        <w:t xml:space="preserve">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8587B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3" w:name="_Toc288142232"/>
      <w:bookmarkStart w:id="14" w:name="_Toc387916928"/>
    </w:p>
    <w:p w:rsidR="00F8587B" w:rsidRPr="00F8587B" w:rsidRDefault="00F8587B" w:rsidP="00F8587B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b/>
          <w:sz w:val="22"/>
          <w:szCs w:val="22"/>
        </w:rPr>
      </w:pPr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3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4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A9556C">
        <w:rPr>
          <w:rFonts w:ascii="Verdana" w:hAnsi="Verdana"/>
          <w:sz w:val="22"/>
          <w:szCs w:val="22"/>
        </w:rPr>
        <w:t>6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A9556C">
        <w:rPr>
          <w:rFonts w:ascii="Verdana" w:hAnsi="Verdana"/>
          <w:sz w:val="22"/>
          <w:szCs w:val="22"/>
        </w:rPr>
        <w:t>6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</w:t>
      </w:r>
      <w:proofErr w:type="spellStart"/>
      <w:r w:rsidRPr="000E4BC5">
        <w:rPr>
          <w:rFonts w:ascii="Verdana" w:hAnsi="Verdana"/>
          <w:sz w:val="22"/>
          <w:szCs w:val="22"/>
        </w:rPr>
        <w:t>Szakágvezető</w:t>
      </w:r>
      <w:proofErr w:type="spellEnd"/>
      <w:r w:rsidRPr="000E4BC5">
        <w:rPr>
          <w:rFonts w:ascii="Verdana" w:hAnsi="Verdana"/>
          <w:sz w:val="22"/>
          <w:szCs w:val="22"/>
        </w:rPr>
        <w:t xml:space="preserve">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0A7" w:rsidRDefault="00FA20A7" w:rsidP="00E33B4E">
      <w:pPr>
        <w:spacing w:after="0" w:line="240" w:lineRule="auto"/>
      </w:pPr>
      <w:r>
        <w:separator/>
      </w:r>
    </w:p>
  </w:endnote>
  <w:endnote w:type="continuationSeparator" w:id="0">
    <w:p w:rsidR="00FA20A7" w:rsidRDefault="00FA20A7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E33B4E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E65730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0A7" w:rsidRDefault="00FA20A7" w:rsidP="00E33B4E">
      <w:pPr>
        <w:spacing w:after="0" w:line="240" w:lineRule="auto"/>
      </w:pPr>
      <w:r>
        <w:separator/>
      </w:r>
    </w:p>
  </w:footnote>
  <w:footnote w:type="continuationSeparator" w:id="0">
    <w:p w:rsidR="00FA20A7" w:rsidRDefault="00FA20A7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E3646"/>
    <w:rsid w:val="000E4BC5"/>
    <w:rsid w:val="00111304"/>
    <w:rsid w:val="00126E13"/>
    <w:rsid w:val="00134920"/>
    <w:rsid w:val="00161D6C"/>
    <w:rsid w:val="001743F7"/>
    <w:rsid w:val="00191468"/>
    <w:rsid w:val="00192B9A"/>
    <w:rsid w:val="001C00AE"/>
    <w:rsid w:val="001F4C4B"/>
    <w:rsid w:val="00234E3E"/>
    <w:rsid w:val="002745B8"/>
    <w:rsid w:val="00274B72"/>
    <w:rsid w:val="002860E1"/>
    <w:rsid w:val="002945F3"/>
    <w:rsid w:val="00303F7A"/>
    <w:rsid w:val="003317A8"/>
    <w:rsid w:val="004020F6"/>
    <w:rsid w:val="00426BFD"/>
    <w:rsid w:val="00466914"/>
    <w:rsid w:val="00495461"/>
    <w:rsid w:val="004C6E0F"/>
    <w:rsid w:val="004C730A"/>
    <w:rsid w:val="005227DE"/>
    <w:rsid w:val="00523508"/>
    <w:rsid w:val="00564778"/>
    <w:rsid w:val="005B223E"/>
    <w:rsid w:val="005C7CB3"/>
    <w:rsid w:val="00613CCA"/>
    <w:rsid w:val="00635592"/>
    <w:rsid w:val="0063658E"/>
    <w:rsid w:val="0066447E"/>
    <w:rsid w:val="006D4E6A"/>
    <w:rsid w:val="00706FE9"/>
    <w:rsid w:val="00781112"/>
    <w:rsid w:val="00782162"/>
    <w:rsid w:val="007D13E5"/>
    <w:rsid w:val="007E22CA"/>
    <w:rsid w:val="00804213"/>
    <w:rsid w:val="008523A0"/>
    <w:rsid w:val="008670E0"/>
    <w:rsid w:val="008A608A"/>
    <w:rsid w:val="008C49C6"/>
    <w:rsid w:val="008C6BE1"/>
    <w:rsid w:val="008E527E"/>
    <w:rsid w:val="00990FF6"/>
    <w:rsid w:val="00993345"/>
    <w:rsid w:val="009E1A4B"/>
    <w:rsid w:val="00A23E6F"/>
    <w:rsid w:val="00A5137B"/>
    <w:rsid w:val="00A51F67"/>
    <w:rsid w:val="00A5400F"/>
    <w:rsid w:val="00A8583F"/>
    <w:rsid w:val="00A9556C"/>
    <w:rsid w:val="00AD319B"/>
    <w:rsid w:val="00B005BF"/>
    <w:rsid w:val="00B208C0"/>
    <w:rsid w:val="00B2437E"/>
    <w:rsid w:val="00B24A39"/>
    <w:rsid w:val="00B35E40"/>
    <w:rsid w:val="00B70C2D"/>
    <w:rsid w:val="00C0768F"/>
    <w:rsid w:val="00C43807"/>
    <w:rsid w:val="00C440B2"/>
    <w:rsid w:val="00C77E4C"/>
    <w:rsid w:val="00CA046E"/>
    <w:rsid w:val="00CA3A83"/>
    <w:rsid w:val="00CA4833"/>
    <w:rsid w:val="00CC13DC"/>
    <w:rsid w:val="00CE70F3"/>
    <w:rsid w:val="00CF3598"/>
    <w:rsid w:val="00D117A9"/>
    <w:rsid w:val="00D25081"/>
    <w:rsid w:val="00DB09EC"/>
    <w:rsid w:val="00DD3D79"/>
    <w:rsid w:val="00E16A06"/>
    <w:rsid w:val="00E23CA6"/>
    <w:rsid w:val="00E33B4E"/>
    <w:rsid w:val="00E6342B"/>
    <w:rsid w:val="00E65730"/>
    <w:rsid w:val="00E862B9"/>
    <w:rsid w:val="00E865EB"/>
    <w:rsid w:val="00E95777"/>
    <w:rsid w:val="00F3297E"/>
    <w:rsid w:val="00F41D9E"/>
    <w:rsid w:val="00F8587B"/>
    <w:rsid w:val="00FA20A7"/>
    <w:rsid w:val="00FC1AE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68360D1-7CFD-4BB5-8AED-33830D5AD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1966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6</cp:revision>
  <dcterms:created xsi:type="dcterms:W3CDTF">2016-04-05T10:25:00Z</dcterms:created>
  <dcterms:modified xsi:type="dcterms:W3CDTF">2016-04-19T08:39:00Z</dcterms:modified>
</cp:coreProperties>
</file>